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575" w:rsidRPr="009E2575" w:rsidRDefault="009E2575" w:rsidP="009E2575">
      <w:pPr>
        <w:ind w:left="1985" w:right="1274"/>
        <w:jc w:val="both"/>
        <w:rPr>
          <w:rFonts w:ascii="Tahoma" w:hAnsi="Tahoma" w:cs="Tahoma"/>
          <w:i/>
          <w:sz w:val="20"/>
          <w:szCs w:val="20"/>
        </w:rPr>
      </w:pPr>
      <w:r w:rsidRPr="009E2575">
        <w:rPr>
          <w:rFonts w:ascii="Tahoma" w:hAnsi="Tahoma" w:cs="Tahoma"/>
          <w:b/>
          <w:i/>
          <w:sz w:val="20"/>
          <w:szCs w:val="20"/>
        </w:rPr>
        <w:t>Sumilla:</w:t>
      </w:r>
      <w:r w:rsidRPr="009E2575">
        <w:rPr>
          <w:rFonts w:ascii="Tahoma" w:hAnsi="Tahoma" w:cs="Tahoma"/>
          <w:i/>
          <w:sz w:val="20"/>
          <w:szCs w:val="20"/>
        </w:rPr>
        <w:t xml:space="preserve"> “No se configura la infracción consistente en la falta de suscripción injustificada del contrato por parte del postor ganador de la buena pro, si </w:t>
      </w:r>
      <w:smartTag w:uri="urn:schemas-microsoft-com:office:smarttags" w:element="PersonName">
        <w:smartTagPr>
          <w:attr w:name="ProductID" w:val="la Entidad"/>
        </w:smartTagPr>
        <w:r w:rsidRPr="009E2575">
          <w:rPr>
            <w:rFonts w:ascii="Tahoma" w:hAnsi="Tahoma" w:cs="Tahoma"/>
            <w:i/>
            <w:sz w:val="20"/>
            <w:szCs w:val="20"/>
          </w:rPr>
          <w:t>la Entidad</w:t>
        </w:r>
      </w:smartTag>
      <w:r w:rsidRPr="009E2575">
        <w:rPr>
          <w:rFonts w:ascii="Tahoma" w:hAnsi="Tahoma" w:cs="Tahoma"/>
          <w:i/>
          <w:sz w:val="20"/>
          <w:szCs w:val="20"/>
        </w:rPr>
        <w:t xml:space="preserve"> no ha seguido el procedimiento establecido para proceder a dicha suscripción.</w:t>
      </w:r>
    </w:p>
    <w:p w:rsidR="009E2575" w:rsidRPr="009E2575" w:rsidRDefault="009E2575" w:rsidP="009E2575">
      <w:pPr>
        <w:ind w:left="1843" w:right="1558"/>
        <w:jc w:val="both"/>
        <w:rPr>
          <w:rFonts w:ascii="Tahoma" w:hAnsi="Tahoma" w:cs="Tahoma"/>
          <w:i/>
          <w:sz w:val="20"/>
          <w:szCs w:val="20"/>
        </w:rPr>
      </w:pPr>
    </w:p>
    <w:p w:rsidR="009E2575" w:rsidRPr="009E2575" w:rsidRDefault="009E2575" w:rsidP="009E2575">
      <w:pPr>
        <w:ind w:left="2268" w:right="1274"/>
        <w:jc w:val="both"/>
        <w:rPr>
          <w:rFonts w:ascii="Tahoma" w:hAnsi="Tahoma" w:cs="Tahoma"/>
          <w:i/>
          <w:sz w:val="20"/>
          <w:szCs w:val="20"/>
        </w:rPr>
      </w:pPr>
    </w:p>
    <w:p w:rsidR="009E2575" w:rsidRPr="009E2575" w:rsidRDefault="009E2575" w:rsidP="009E2575">
      <w:pPr>
        <w:pStyle w:val="Textoindependiente3"/>
        <w:spacing w:after="0"/>
        <w:ind w:left="5387"/>
        <w:jc w:val="both"/>
        <w:rPr>
          <w:rFonts w:ascii="Tahoma" w:hAnsi="Tahoma" w:cs="Tahoma"/>
          <w:b/>
          <w:sz w:val="20"/>
          <w:szCs w:val="20"/>
        </w:rPr>
      </w:pPr>
      <w:r w:rsidRPr="009E2575">
        <w:rPr>
          <w:rFonts w:ascii="Tahoma" w:hAnsi="Tahoma" w:cs="Tahoma"/>
          <w:b/>
          <w:sz w:val="20"/>
          <w:szCs w:val="20"/>
        </w:rPr>
        <w:t>Lima,</w:t>
      </w:r>
      <w:r w:rsidR="00E229FD">
        <w:rPr>
          <w:rFonts w:ascii="Tahoma" w:hAnsi="Tahoma" w:cs="Tahoma"/>
          <w:b/>
          <w:sz w:val="20"/>
          <w:szCs w:val="20"/>
        </w:rPr>
        <w:t xml:space="preserve"> 12 de Mayo de 2011</w:t>
      </w:r>
    </w:p>
    <w:p w:rsidR="009E2575" w:rsidRPr="009E2575" w:rsidRDefault="009E2575" w:rsidP="009E2575">
      <w:pPr>
        <w:pStyle w:val="Textoindependiente3"/>
        <w:spacing w:after="0"/>
        <w:ind w:left="5387"/>
        <w:jc w:val="both"/>
        <w:rPr>
          <w:rFonts w:ascii="Tahoma" w:hAnsi="Tahoma" w:cs="Tahoma"/>
          <w:b/>
          <w:sz w:val="20"/>
          <w:szCs w:val="20"/>
        </w:rPr>
      </w:pPr>
    </w:p>
    <w:p w:rsidR="009E2575" w:rsidRPr="009E2575" w:rsidRDefault="009E2575" w:rsidP="009E2575">
      <w:pPr>
        <w:ind w:left="567"/>
        <w:contextualSpacing/>
        <w:jc w:val="both"/>
        <w:rPr>
          <w:rFonts w:ascii="Tahoma" w:hAnsi="Tahoma" w:cs="Tahoma"/>
          <w:sz w:val="20"/>
          <w:szCs w:val="20"/>
        </w:rPr>
      </w:pPr>
      <w:r w:rsidRPr="009E2575">
        <w:rPr>
          <w:rFonts w:ascii="Tahoma" w:hAnsi="Tahoma" w:cs="Tahoma"/>
          <w:b/>
          <w:sz w:val="20"/>
          <w:szCs w:val="20"/>
        </w:rPr>
        <w:t xml:space="preserve">Visto </w:t>
      </w:r>
      <w:r w:rsidRPr="009E2575">
        <w:rPr>
          <w:rFonts w:ascii="Tahoma" w:hAnsi="Tahoma" w:cs="Tahoma"/>
          <w:sz w:val="20"/>
          <w:szCs w:val="20"/>
        </w:rPr>
        <w:t>en sesión de fecha 12 de mayo de 2011 la Primera Sala del Tribunal de Contrataciones del Estado el Expediente N° 1289-2010-TC; sobre el procedimiento administrativo sancionador iniciado contra la empresa Corporación Nuevo Mundo SAC</w:t>
      </w:r>
      <w:r w:rsidRPr="009E2575">
        <w:rPr>
          <w:rFonts w:ascii="Tahoma" w:hAnsi="Tahoma" w:cs="Tahoma"/>
          <w:color w:val="000000" w:themeColor="text1"/>
          <w:sz w:val="20"/>
          <w:szCs w:val="20"/>
          <w:lang w:val="es-MX"/>
        </w:rPr>
        <w:t xml:space="preserve"> por la supuesta responsabilidad al no suscribir contrato en virtud </w:t>
      </w:r>
      <w:r w:rsidRPr="009E2575">
        <w:rPr>
          <w:rFonts w:ascii="Tahoma" w:hAnsi="Tahoma" w:cs="Tahoma"/>
          <w:sz w:val="20"/>
          <w:szCs w:val="20"/>
        </w:rPr>
        <w:t>del proceso por Competencia Menor Nº CME-0065-2010-OFP/PETROPERU</w:t>
      </w:r>
      <w:r w:rsidRPr="009E2575">
        <w:rPr>
          <w:rFonts w:ascii="Tahoma" w:hAnsi="Tahoma" w:cs="Tahoma"/>
          <w:color w:val="000000" w:themeColor="text1"/>
          <w:sz w:val="20"/>
          <w:szCs w:val="20"/>
          <w:lang w:val="es-MX"/>
        </w:rPr>
        <w:t>.</w:t>
      </w:r>
    </w:p>
    <w:p w:rsidR="009E2575" w:rsidRPr="009E2575" w:rsidRDefault="009E2575" w:rsidP="009E2575">
      <w:pPr>
        <w:ind w:firstLine="567"/>
        <w:contextualSpacing/>
        <w:jc w:val="both"/>
        <w:rPr>
          <w:rFonts w:ascii="Tahoma" w:hAnsi="Tahoma" w:cs="Tahoma"/>
          <w:b/>
          <w:sz w:val="20"/>
          <w:szCs w:val="20"/>
          <w:lang w:val="es-ES_tradnl"/>
        </w:rPr>
      </w:pPr>
    </w:p>
    <w:p w:rsidR="009E2575" w:rsidRPr="009E2575" w:rsidRDefault="009E2575" w:rsidP="009E2575">
      <w:pPr>
        <w:pStyle w:val="Prrafodelista"/>
        <w:ind w:left="567"/>
        <w:rPr>
          <w:rFonts w:ascii="Tahoma" w:hAnsi="Tahoma" w:cs="Tahoma"/>
          <w:b/>
          <w:sz w:val="20"/>
        </w:rPr>
      </w:pPr>
      <w:r w:rsidRPr="009E2575">
        <w:rPr>
          <w:rFonts w:ascii="Tahoma" w:hAnsi="Tahoma" w:cs="Tahoma"/>
          <w:b/>
          <w:sz w:val="20"/>
        </w:rPr>
        <w:t>ANTECEDENTES:</w:t>
      </w:r>
    </w:p>
    <w:p w:rsidR="009E2575" w:rsidRPr="009E2575" w:rsidRDefault="009E2575" w:rsidP="009E2575">
      <w:pPr>
        <w:jc w:val="both"/>
        <w:rPr>
          <w:rFonts w:ascii="Tahoma" w:hAnsi="Tahoma" w:cs="Tahoma"/>
          <w:b/>
          <w:sz w:val="20"/>
          <w:szCs w:val="20"/>
          <w:lang w:eastAsia="es-PE"/>
        </w:rPr>
      </w:pPr>
    </w:p>
    <w:p w:rsidR="009E2575" w:rsidRPr="009E2575" w:rsidRDefault="009E2575" w:rsidP="009E2575">
      <w:pPr>
        <w:pStyle w:val="Prrafodelista"/>
        <w:widowControl/>
        <w:numPr>
          <w:ilvl w:val="0"/>
          <w:numId w:val="5"/>
        </w:numPr>
        <w:suppressAutoHyphens w:val="0"/>
        <w:ind w:left="567" w:hanging="567"/>
        <w:contextualSpacing/>
        <w:jc w:val="both"/>
        <w:rPr>
          <w:rFonts w:ascii="Tahoma" w:hAnsi="Tahoma" w:cs="Tahoma"/>
          <w:sz w:val="20"/>
        </w:rPr>
      </w:pPr>
      <w:r w:rsidRPr="009E2575">
        <w:rPr>
          <w:rFonts w:ascii="Tahoma" w:hAnsi="Tahoma" w:cs="Tahoma"/>
          <w:sz w:val="20"/>
        </w:rPr>
        <w:t xml:space="preserve">El 20 de setiembre de 2010, Petróleos del Perú, en lo sucesivo, la Entidad, remitió a este Tribunal de Contrataciones del Estado, en adelante, el Tribunal, el Oficio Nº GLOG-UZ-2588-2010, poniendo en conocimiento que la empresa Corporación Nuevo Mundo SAC, en adelante, el Postor, habría incurrido en causal de sanción, al no haber suscrito el contrato del proceso por Competencia Menor Nº CME-0065-2010-OFP/PETROPERU, el que tuvo como objeto la “Adquisición de baldosas acústicas para falso cielo raso”. </w:t>
      </w:r>
    </w:p>
    <w:p w:rsidR="009E2575" w:rsidRPr="009E2575" w:rsidRDefault="009E2575" w:rsidP="009E2575">
      <w:pPr>
        <w:pStyle w:val="Prrafodelista"/>
        <w:ind w:left="567"/>
        <w:contextualSpacing/>
        <w:jc w:val="both"/>
        <w:rPr>
          <w:rFonts w:ascii="Tahoma" w:hAnsi="Tahoma" w:cs="Tahoma"/>
          <w:sz w:val="20"/>
        </w:rPr>
      </w:pPr>
    </w:p>
    <w:p w:rsidR="009E2575" w:rsidRPr="002E5CEB" w:rsidRDefault="009E2575" w:rsidP="009E2575">
      <w:pPr>
        <w:pStyle w:val="Prrafodelista"/>
        <w:widowControl/>
        <w:numPr>
          <w:ilvl w:val="0"/>
          <w:numId w:val="5"/>
        </w:numPr>
        <w:suppressAutoHyphens w:val="0"/>
        <w:ind w:left="567" w:hanging="567"/>
        <w:contextualSpacing/>
        <w:jc w:val="both"/>
        <w:rPr>
          <w:rFonts w:ascii="Tahoma" w:hAnsi="Tahoma" w:cs="Tahoma"/>
          <w:sz w:val="20"/>
        </w:rPr>
      </w:pPr>
      <w:r w:rsidRPr="009E2575">
        <w:rPr>
          <w:rFonts w:ascii="Tahoma" w:hAnsi="Tahoma" w:cs="Tahoma"/>
          <w:sz w:val="20"/>
        </w:rPr>
        <w:t>Mediante decreto de fecha 23 de setiembre de 2010, la Secretaría del Tribunal solicitó previamente a la Entidad, que en el plazo de diez (10) días hábiles, c</w:t>
      </w:r>
      <w:r w:rsidRPr="002E5CEB">
        <w:rPr>
          <w:rFonts w:ascii="Tahoma" w:hAnsi="Tahoma" w:cs="Tahoma"/>
          <w:sz w:val="20"/>
        </w:rPr>
        <w:t>umpla con remitir copia legible de la Carta debidamente recibida y/o diligenciada, a través de la cual citó a la empresa Corporación Nuevo Mundo SAC para la suscripción del Contrato o, de ser el caso, remitir copia del documento mediante el cual la referida empresa autorizó la notificación vía correo electrónico.</w:t>
      </w:r>
    </w:p>
    <w:p w:rsidR="009E2575" w:rsidRPr="002E5CEB" w:rsidRDefault="009E2575" w:rsidP="009E2575">
      <w:pPr>
        <w:pStyle w:val="Prrafodelista"/>
        <w:rPr>
          <w:rFonts w:ascii="Tahoma" w:hAnsi="Tahoma" w:cs="Tahoma"/>
          <w:sz w:val="20"/>
        </w:rPr>
      </w:pPr>
    </w:p>
    <w:p w:rsidR="009E2575" w:rsidRPr="002E5CEB" w:rsidRDefault="009E2575" w:rsidP="009E2575">
      <w:pPr>
        <w:pStyle w:val="Prrafodelista"/>
        <w:widowControl/>
        <w:numPr>
          <w:ilvl w:val="0"/>
          <w:numId w:val="5"/>
        </w:numPr>
        <w:suppressAutoHyphens w:val="0"/>
        <w:ind w:left="567" w:hanging="567"/>
        <w:contextualSpacing/>
        <w:jc w:val="both"/>
        <w:rPr>
          <w:rFonts w:ascii="Tahoma" w:hAnsi="Tahoma" w:cs="Tahoma"/>
          <w:sz w:val="20"/>
        </w:rPr>
      </w:pPr>
      <w:r w:rsidRPr="002E5CEB">
        <w:rPr>
          <w:rFonts w:ascii="Tahoma" w:hAnsi="Tahoma" w:cs="Tahoma"/>
          <w:sz w:val="20"/>
        </w:rPr>
        <w:t>La Entidad adjuntó a su Oficio Nº GLOG-UZ-2588-2010 del 20 de setiembre, mencionado precedentemente, el Informe Técnico Nº GLOG-UA-2429-2010,  a través del cual señaló que con fecha 09 de junio de 2010 se otorgó la Buena Pro al Postor por el monto de S/. 48,000.00 (Cuarenta y ocho mil con 00/100 nuevos soles), la misma que queda consentida el 15.06.2010 al no presentarse recurso impugnativo a dicho acto administrativo.</w:t>
      </w:r>
    </w:p>
    <w:p w:rsidR="009E2575" w:rsidRPr="002E5CEB" w:rsidRDefault="009E2575" w:rsidP="009E2575">
      <w:pPr>
        <w:pStyle w:val="Prrafodelista"/>
        <w:rPr>
          <w:rFonts w:ascii="Tahoma" w:hAnsi="Tahoma" w:cs="Tahoma"/>
          <w:sz w:val="20"/>
        </w:rPr>
      </w:pPr>
    </w:p>
    <w:p w:rsidR="009E2575" w:rsidRPr="002E5CEB" w:rsidRDefault="009E2575" w:rsidP="009E2575">
      <w:pPr>
        <w:pStyle w:val="Prrafodelista"/>
        <w:widowControl/>
        <w:numPr>
          <w:ilvl w:val="0"/>
          <w:numId w:val="5"/>
        </w:numPr>
        <w:suppressAutoHyphens w:val="0"/>
        <w:ind w:left="567" w:hanging="567"/>
        <w:contextualSpacing/>
        <w:jc w:val="both"/>
        <w:rPr>
          <w:rFonts w:ascii="Tahoma" w:hAnsi="Tahoma" w:cs="Tahoma"/>
          <w:sz w:val="20"/>
        </w:rPr>
      </w:pPr>
      <w:r w:rsidRPr="002E5CEB">
        <w:rPr>
          <w:rFonts w:ascii="Tahoma" w:hAnsi="Tahoma" w:cs="Tahoma"/>
          <w:sz w:val="20"/>
        </w:rPr>
        <w:t>El 10 de junio de 2010 el Postor solicita a la Entidad mediante Carta S/N se le retire el otorgamiento de la buena pro del proceso en los siguientes términos:</w:t>
      </w:r>
    </w:p>
    <w:p w:rsidR="009E2575" w:rsidRPr="002E5CEB" w:rsidRDefault="009E2575" w:rsidP="009E2575">
      <w:pPr>
        <w:pStyle w:val="Prrafodelista"/>
        <w:rPr>
          <w:rFonts w:ascii="Tahoma" w:hAnsi="Tahoma" w:cs="Tahoma"/>
          <w:i/>
          <w:sz w:val="20"/>
        </w:rPr>
      </w:pPr>
    </w:p>
    <w:p w:rsidR="009E2575" w:rsidRPr="002E5CEB" w:rsidRDefault="009E2575" w:rsidP="009E2575">
      <w:pPr>
        <w:pStyle w:val="Prrafodelista"/>
        <w:ind w:left="567"/>
        <w:contextualSpacing/>
        <w:jc w:val="both"/>
        <w:rPr>
          <w:rFonts w:ascii="Tahoma" w:hAnsi="Tahoma" w:cs="Tahoma"/>
          <w:sz w:val="20"/>
        </w:rPr>
      </w:pPr>
      <w:r w:rsidRPr="002E5CEB">
        <w:rPr>
          <w:rFonts w:ascii="Tahoma" w:hAnsi="Tahoma" w:cs="Tahoma"/>
          <w:i/>
          <w:sz w:val="20"/>
        </w:rPr>
        <w:t>“La presente tiene por finalidad saludarlo muy cordialmente y al mismo tiempo comunicarle lo siguiente:</w:t>
      </w:r>
    </w:p>
    <w:p w:rsidR="009E2575" w:rsidRPr="002E5CEB" w:rsidRDefault="009E2575" w:rsidP="009E2575">
      <w:pPr>
        <w:pStyle w:val="Prrafodelista"/>
        <w:ind w:left="567"/>
        <w:contextualSpacing/>
        <w:jc w:val="both"/>
        <w:rPr>
          <w:rFonts w:ascii="Tahoma" w:hAnsi="Tahoma" w:cs="Tahoma"/>
          <w:i/>
          <w:sz w:val="20"/>
        </w:rPr>
      </w:pPr>
      <w:r w:rsidRPr="002E5CEB">
        <w:rPr>
          <w:rFonts w:ascii="Tahoma" w:hAnsi="Tahoma" w:cs="Tahoma"/>
          <w:i/>
          <w:sz w:val="20"/>
        </w:rPr>
        <w:t>Que mi representada solicita a usted que se nos retire la Buena Pro ya que hubo un error garrafal, ya que el importador que nos distribuye, al darnos el precio, se ha equivocado, ya que me dio soles, y era dólares, lo que nuestro costo se incrementa.</w:t>
      </w:r>
    </w:p>
    <w:p w:rsidR="009E2575" w:rsidRPr="002E5CEB" w:rsidRDefault="009E2575" w:rsidP="009E2575">
      <w:pPr>
        <w:pStyle w:val="Prrafodelista"/>
        <w:ind w:left="567"/>
        <w:contextualSpacing/>
        <w:jc w:val="both"/>
        <w:rPr>
          <w:rFonts w:ascii="Tahoma" w:hAnsi="Tahoma" w:cs="Tahoma"/>
          <w:i/>
          <w:sz w:val="20"/>
        </w:rPr>
      </w:pPr>
      <w:r w:rsidRPr="002E5CEB">
        <w:rPr>
          <w:rFonts w:ascii="Tahoma" w:hAnsi="Tahoma" w:cs="Tahoma"/>
          <w:i/>
          <w:sz w:val="20"/>
        </w:rPr>
        <w:t>Como comprenderá, son razones que escapan a nuestra responsabilidad, ya que nosotros confiamos en los precios de nuestros proveedores, nosotros como empresa nunca hemos tenido un problema así por lo que le invoco que nos retire la buena pro y se la otorgue al que quedo en segundo lugar.</w:t>
      </w:r>
    </w:p>
    <w:p w:rsidR="009E2575" w:rsidRPr="002E5CEB" w:rsidRDefault="009E2575" w:rsidP="009E2575">
      <w:pPr>
        <w:pStyle w:val="Prrafodelista"/>
        <w:ind w:left="567"/>
        <w:contextualSpacing/>
        <w:jc w:val="both"/>
        <w:rPr>
          <w:rFonts w:ascii="Tahoma" w:hAnsi="Tahoma" w:cs="Tahoma"/>
          <w:sz w:val="20"/>
        </w:rPr>
      </w:pPr>
      <w:r w:rsidRPr="002E5CEB">
        <w:rPr>
          <w:rFonts w:ascii="Tahoma" w:hAnsi="Tahoma" w:cs="Tahoma"/>
          <w:i/>
          <w:sz w:val="20"/>
        </w:rPr>
        <w:lastRenderedPageBreak/>
        <w:t>Sin otro particular, le reiteramos nuestra solicitud y asimismo, aprovecho para expresarle los sentimientos de mi estima personal.</w:t>
      </w:r>
    </w:p>
    <w:p w:rsidR="009E2575" w:rsidRPr="002E5CEB" w:rsidRDefault="009E2575" w:rsidP="009E2575">
      <w:pPr>
        <w:pStyle w:val="Prrafodelista"/>
        <w:ind w:left="567"/>
        <w:contextualSpacing/>
        <w:jc w:val="both"/>
        <w:rPr>
          <w:rFonts w:ascii="Tahoma" w:hAnsi="Tahoma" w:cs="Tahoma"/>
          <w:i/>
          <w:sz w:val="20"/>
        </w:rPr>
      </w:pPr>
    </w:p>
    <w:p w:rsidR="009E2575" w:rsidRPr="002E5CEB" w:rsidRDefault="009E2575" w:rsidP="009E2575">
      <w:pPr>
        <w:pStyle w:val="Prrafodelista"/>
        <w:widowControl/>
        <w:numPr>
          <w:ilvl w:val="0"/>
          <w:numId w:val="5"/>
        </w:numPr>
        <w:suppressAutoHyphens w:val="0"/>
        <w:ind w:left="567" w:hanging="567"/>
        <w:contextualSpacing/>
        <w:jc w:val="both"/>
        <w:rPr>
          <w:rFonts w:ascii="Tahoma" w:hAnsi="Tahoma" w:cs="Tahoma"/>
          <w:sz w:val="20"/>
        </w:rPr>
      </w:pPr>
      <w:r w:rsidRPr="002E5CEB">
        <w:rPr>
          <w:rFonts w:ascii="Tahoma" w:hAnsi="Tahoma" w:cs="Tahoma"/>
          <w:sz w:val="20"/>
        </w:rPr>
        <w:t>En vista de ello, la Entidad remite al Postor la Carta Nº GLOG-UA-1671-2010, con fecha 14 de junio de 2010, a través de la cual indica que su solicitud no está contemplada en el Reglamento de Contrataciones de Petroperú, y en consecuencia no pueden retirar su propuesta e invoca realizar sus mayores esfuerzos, a fin de cumplir con el compromiso asumido.</w:t>
      </w:r>
    </w:p>
    <w:p w:rsidR="009E2575" w:rsidRPr="002E5CEB" w:rsidRDefault="009E2575" w:rsidP="009E2575">
      <w:pPr>
        <w:pStyle w:val="Prrafodelista"/>
        <w:ind w:left="567"/>
        <w:contextualSpacing/>
        <w:jc w:val="both"/>
        <w:rPr>
          <w:rFonts w:ascii="Tahoma" w:hAnsi="Tahoma" w:cs="Tahoma"/>
          <w:sz w:val="20"/>
        </w:rPr>
      </w:pPr>
    </w:p>
    <w:p w:rsidR="009E2575" w:rsidRPr="002E5CEB" w:rsidRDefault="009E2575" w:rsidP="009E2575">
      <w:pPr>
        <w:pStyle w:val="Prrafodelista"/>
        <w:widowControl/>
        <w:numPr>
          <w:ilvl w:val="0"/>
          <w:numId w:val="5"/>
        </w:numPr>
        <w:suppressAutoHyphens w:val="0"/>
        <w:ind w:left="567" w:hanging="567"/>
        <w:contextualSpacing/>
        <w:jc w:val="both"/>
        <w:rPr>
          <w:rFonts w:ascii="Tahoma" w:hAnsi="Tahoma" w:cs="Tahoma"/>
          <w:sz w:val="20"/>
        </w:rPr>
      </w:pPr>
      <w:r w:rsidRPr="002E5CEB">
        <w:rPr>
          <w:rFonts w:ascii="Tahoma" w:hAnsi="Tahoma" w:cs="Tahoma"/>
          <w:sz w:val="20"/>
        </w:rPr>
        <w:t>El 16 de junio de 2010, mediante Carta Nº GOLG-UA-1706-2010, consentida la Buena Pro, la Entidad solicita al Postor entregue la Constancia de No Encontrarse Inhabilitado para Contratar con el Estado, otorgándole un plazo de tres (03) días a fin de entregar dicho documento e iniciar las gestiones para formalizar la Orden de Compra.</w:t>
      </w:r>
    </w:p>
    <w:p w:rsidR="009E2575" w:rsidRPr="002E5CEB" w:rsidRDefault="009E2575" w:rsidP="009E2575">
      <w:pPr>
        <w:pStyle w:val="Prrafodelista"/>
        <w:rPr>
          <w:rFonts w:ascii="Tahoma" w:hAnsi="Tahoma" w:cs="Tahoma"/>
          <w:sz w:val="20"/>
        </w:rPr>
      </w:pPr>
    </w:p>
    <w:p w:rsidR="009E2575" w:rsidRPr="002E5CEB" w:rsidRDefault="009E2575" w:rsidP="009E2575">
      <w:pPr>
        <w:pStyle w:val="Prrafodelista"/>
        <w:widowControl/>
        <w:numPr>
          <w:ilvl w:val="0"/>
          <w:numId w:val="5"/>
        </w:numPr>
        <w:suppressAutoHyphens w:val="0"/>
        <w:ind w:left="567" w:hanging="567"/>
        <w:contextualSpacing/>
        <w:jc w:val="both"/>
        <w:rPr>
          <w:rFonts w:ascii="Tahoma" w:hAnsi="Tahoma" w:cs="Tahoma"/>
          <w:sz w:val="20"/>
        </w:rPr>
      </w:pPr>
      <w:r w:rsidRPr="002E5CEB">
        <w:rPr>
          <w:rFonts w:ascii="Tahoma" w:hAnsi="Tahoma" w:cs="Tahoma"/>
          <w:sz w:val="20"/>
        </w:rPr>
        <w:t>El 21 de junio de 2010, el Postor comunica a Petroperú mediante Carta S/N lo siguiente:</w:t>
      </w:r>
    </w:p>
    <w:p w:rsidR="009E2575" w:rsidRPr="002E5CEB" w:rsidRDefault="009E2575" w:rsidP="009E2575">
      <w:pPr>
        <w:pStyle w:val="Prrafodelista"/>
        <w:rPr>
          <w:rFonts w:ascii="Tahoma" w:hAnsi="Tahoma" w:cs="Tahoma"/>
          <w:sz w:val="20"/>
        </w:rPr>
      </w:pPr>
    </w:p>
    <w:p w:rsidR="009E2575" w:rsidRPr="002E5CEB" w:rsidRDefault="009E2575" w:rsidP="009E2575">
      <w:pPr>
        <w:pStyle w:val="Prrafodelista"/>
        <w:ind w:left="567"/>
        <w:contextualSpacing/>
        <w:jc w:val="both"/>
        <w:rPr>
          <w:rFonts w:ascii="Tahoma" w:hAnsi="Tahoma" w:cs="Tahoma"/>
          <w:i/>
          <w:sz w:val="20"/>
        </w:rPr>
      </w:pPr>
      <w:r w:rsidRPr="002E5CEB">
        <w:rPr>
          <w:rFonts w:ascii="Tahoma" w:hAnsi="Tahoma" w:cs="Tahoma"/>
          <w:i/>
          <w:sz w:val="20"/>
        </w:rPr>
        <w:t>“La presente tiene por finalidad saludarlo muy cordialmente y al mismo tiempo comunicarle lo siguiente:</w:t>
      </w:r>
    </w:p>
    <w:p w:rsidR="009E2575" w:rsidRPr="002E5CEB" w:rsidRDefault="009E2575" w:rsidP="009E2575">
      <w:pPr>
        <w:pStyle w:val="Prrafodelista"/>
        <w:ind w:left="567"/>
        <w:contextualSpacing/>
        <w:jc w:val="both"/>
        <w:rPr>
          <w:rFonts w:ascii="Tahoma" w:hAnsi="Tahoma" w:cs="Tahoma"/>
          <w:i/>
          <w:sz w:val="20"/>
        </w:rPr>
      </w:pPr>
      <w:r w:rsidRPr="002E5CEB">
        <w:rPr>
          <w:rFonts w:ascii="Tahoma" w:hAnsi="Tahoma" w:cs="Tahoma"/>
          <w:i/>
          <w:sz w:val="20"/>
        </w:rPr>
        <w:t>Que mi representada no entregará los documentos que nos solicita porque en la carta anterior del 10/06/2010, solicitamos la anulación de la Buena Pro, pero por motivos de reglamento no se puede realizar.</w:t>
      </w:r>
    </w:p>
    <w:p w:rsidR="009E2575" w:rsidRPr="002E5CEB" w:rsidRDefault="009E2575" w:rsidP="009E2575">
      <w:pPr>
        <w:pStyle w:val="Prrafodelista"/>
        <w:ind w:left="567"/>
        <w:contextualSpacing/>
        <w:jc w:val="both"/>
        <w:rPr>
          <w:rFonts w:ascii="Tahoma" w:hAnsi="Tahoma" w:cs="Tahoma"/>
          <w:i/>
          <w:sz w:val="20"/>
        </w:rPr>
      </w:pPr>
      <w:r w:rsidRPr="002E5CEB">
        <w:rPr>
          <w:rFonts w:ascii="Tahoma" w:hAnsi="Tahoma" w:cs="Tahoma"/>
          <w:i/>
          <w:sz w:val="20"/>
        </w:rPr>
        <w:t>Como comprenderán, no podemos atenderlo ya que hubo un error en los precios que no es culpa de nuestra empresa, si no de nuestra proveedora por el cual adjuntamos la carta de ellos corroborando la veracidad de nuestros argumentos.</w:t>
      </w:r>
    </w:p>
    <w:p w:rsidR="009E2575" w:rsidRPr="002E5CEB" w:rsidRDefault="009E2575" w:rsidP="009E2575">
      <w:pPr>
        <w:pStyle w:val="Prrafodelista"/>
        <w:ind w:left="567"/>
        <w:contextualSpacing/>
        <w:jc w:val="both"/>
        <w:rPr>
          <w:rFonts w:ascii="Tahoma" w:hAnsi="Tahoma" w:cs="Tahoma"/>
          <w:i/>
          <w:sz w:val="20"/>
        </w:rPr>
      </w:pPr>
      <w:r w:rsidRPr="002E5CEB">
        <w:rPr>
          <w:rFonts w:ascii="Tahoma" w:hAnsi="Tahoma" w:cs="Tahoma"/>
          <w:i/>
          <w:sz w:val="20"/>
        </w:rPr>
        <w:t>Sin otro particular, le reiteramos nuestra solicitud y asimismo, aprovecho la oportunidad para expresarle los sentimientos de mi estima personal.”</w:t>
      </w:r>
    </w:p>
    <w:p w:rsidR="009E2575" w:rsidRPr="002E5CEB" w:rsidRDefault="009E2575" w:rsidP="009E2575">
      <w:pPr>
        <w:contextualSpacing/>
        <w:jc w:val="both"/>
        <w:rPr>
          <w:rFonts w:ascii="Tahoma" w:hAnsi="Tahoma" w:cs="Tahoma"/>
          <w:sz w:val="20"/>
          <w:szCs w:val="20"/>
        </w:rPr>
      </w:pPr>
    </w:p>
    <w:p w:rsidR="009E2575" w:rsidRPr="002E5CEB" w:rsidRDefault="009E2575" w:rsidP="009E2575">
      <w:pPr>
        <w:pStyle w:val="Prrafodelista"/>
        <w:widowControl/>
        <w:numPr>
          <w:ilvl w:val="0"/>
          <w:numId w:val="5"/>
        </w:numPr>
        <w:suppressAutoHyphens w:val="0"/>
        <w:ind w:left="567" w:hanging="567"/>
        <w:contextualSpacing/>
        <w:jc w:val="both"/>
        <w:rPr>
          <w:rFonts w:ascii="Tahoma" w:hAnsi="Tahoma" w:cs="Tahoma"/>
          <w:sz w:val="20"/>
        </w:rPr>
      </w:pPr>
      <w:r w:rsidRPr="002E5CEB">
        <w:rPr>
          <w:rFonts w:ascii="Tahoma" w:hAnsi="Tahoma" w:cs="Tahoma"/>
          <w:sz w:val="20"/>
        </w:rPr>
        <w:t>Con fecha 23 de junio de 2010, mediante Carta Nº GLOG-UA-1781-2010, la Entidad comunica al Postor que al haber incumplido con presentar la “Constancia de No encontrarse Inhabilitado para Contratar con el Estado” ha perdido la buena pro, al haber vencido el plazo para cumplir con dicha entrega documentaria.</w:t>
      </w:r>
    </w:p>
    <w:p w:rsidR="009E2575" w:rsidRPr="002E5CEB" w:rsidRDefault="009E2575" w:rsidP="009E2575">
      <w:pPr>
        <w:pStyle w:val="Prrafodelista"/>
        <w:ind w:left="567"/>
        <w:contextualSpacing/>
        <w:jc w:val="both"/>
        <w:rPr>
          <w:rFonts w:ascii="Tahoma" w:hAnsi="Tahoma" w:cs="Tahoma"/>
          <w:sz w:val="20"/>
        </w:rPr>
      </w:pPr>
    </w:p>
    <w:p w:rsidR="009E2575" w:rsidRPr="002E5CEB" w:rsidRDefault="009E2575" w:rsidP="009E2575">
      <w:pPr>
        <w:pStyle w:val="Prrafodelista"/>
        <w:widowControl/>
        <w:numPr>
          <w:ilvl w:val="0"/>
          <w:numId w:val="5"/>
        </w:numPr>
        <w:suppressAutoHyphens w:val="0"/>
        <w:ind w:left="567" w:hanging="567"/>
        <w:contextualSpacing/>
        <w:jc w:val="both"/>
        <w:rPr>
          <w:rFonts w:ascii="Tahoma" w:hAnsi="Tahoma" w:cs="Tahoma"/>
          <w:sz w:val="20"/>
        </w:rPr>
      </w:pPr>
      <w:r w:rsidRPr="002E5CEB">
        <w:rPr>
          <w:rFonts w:ascii="Tahoma" w:hAnsi="Tahoma" w:cs="Tahoma"/>
          <w:sz w:val="20"/>
        </w:rPr>
        <w:t>Mediante Carta S/N de fecha 16 de diciembre de 2010, el Postor, remitió a este Tribunal la información requerida por la Secretaría, adjuntando la Carta GLOG-1706-2010 de fecha 16 de junio de 2010, a través del cual se requirió al Postor la Constancia de no estar Inhabilitado para Contratar con el Estado, dándole un plazo de tres (3) días hábiles para que cumpla dicha solicitud. Sin embargo, no informo respecto de la autorización de recibirla vía correo electrónico o fax.</w:t>
      </w:r>
    </w:p>
    <w:p w:rsidR="009E2575" w:rsidRPr="002E5CEB" w:rsidRDefault="009E2575" w:rsidP="009E2575">
      <w:pPr>
        <w:pStyle w:val="Prrafodelista"/>
        <w:rPr>
          <w:rFonts w:ascii="Tahoma" w:hAnsi="Tahoma" w:cs="Tahoma"/>
          <w:sz w:val="20"/>
        </w:rPr>
      </w:pPr>
    </w:p>
    <w:p w:rsidR="009E2575" w:rsidRPr="002E5CEB" w:rsidRDefault="009E2575" w:rsidP="009E2575">
      <w:pPr>
        <w:pStyle w:val="Prrafodelista"/>
        <w:widowControl/>
        <w:numPr>
          <w:ilvl w:val="0"/>
          <w:numId w:val="5"/>
        </w:numPr>
        <w:suppressAutoHyphens w:val="0"/>
        <w:ind w:left="567" w:hanging="567"/>
        <w:contextualSpacing/>
        <w:jc w:val="both"/>
        <w:rPr>
          <w:rFonts w:ascii="Tahoma" w:hAnsi="Tahoma" w:cs="Tahoma"/>
          <w:sz w:val="20"/>
        </w:rPr>
      </w:pPr>
      <w:r w:rsidRPr="002E5CEB">
        <w:rPr>
          <w:rFonts w:ascii="Tahoma" w:hAnsi="Tahoma" w:cs="Tahoma"/>
          <w:sz w:val="20"/>
        </w:rPr>
        <w:t>Mediante decreto de fecha 21 de diciembre de 2010 se inició procedimiento administrativo sancionador contra la empresa Corporación Nuevo Mundo SAC, por su presunta responsabilidad, al no haber suscrito el contrato injustificadamente, derivado del proceso de Competencia Menor Nº CME-0065-2010-OFP/PETROPERU, el cual tuvo como objeto la “Adquisición de baldosas acústicas para falso cielo raso.”</w:t>
      </w:r>
    </w:p>
    <w:p w:rsidR="009E2575" w:rsidRPr="002E5CEB" w:rsidRDefault="009E2575" w:rsidP="009E2575">
      <w:pPr>
        <w:contextualSpacing/>
        <w:jc w:val="both"/>
        <w:rPr>
          <w:rFonts w:ascii="Tahoma" w:hAnsi="Tahoma" w:cs="Tahoma"/>
          <w:sz w:val="20"/>
          <w:szCs w:val="20"/>
        </w:rPr>
      </w:pPr>
    </w:p>
    <w:p w:rsidR="009E2575" w:rsidRPr="002E5CEB" w:rsidRDefault="009E2575" w:rsidP="009E2575">
      <w:pPr>
        <w:pStyle w:val="Prrafodelista"/>
        <w:widowControl/>
        <w:numPr>
          <w:ilvl w:val="0"/>
          <w:numId w:val="5"/>
        </w:numPr>
        <w:suppressAutoHyphens w:val="0"/>
        <w:ind w:left="567" w:hanging="567"/>
        <w:contextualSpacing/>
        <w:jc w:val="both"/>
        <w:rPr>
          <w:rFonts w:ascii="Tahoma" w:hAnsi="Tahoma" w:cs="Tahoma"/>
          <w:sz w:val="20"/>
        </w:rPr>
      </w:pPr>
      <w:r w:rsidRPr="002E5CEB">
        <w:rPr>
          <w:rFonts w:ascii="Tahoma" w:hAnsi="Tahoma" w:cs="Tahoma"/>
          <w:sz w:val="20"/>
        </w:rPr>
        <w:t>El 27 de enero de 2011, el Postor presentó sus descargos señalando lo siguiente:</w:t>
      </w:r>
    </w:p>
    <w:p w:rsidR="009E2575" w:rsidRPr="002E5CEB" w:rsidRDefault="009E2575" w:rsidP="009E2575">
      <w:pPr>
        <w:contextualSpacing/>
        <w:jc w:val="both"/>
        <w:rPr>
          <w:rFonts w:ascii="Tahoma" w:hAnsi="Tahoma" w:cs="Tahoma"/>
          <w:sz w:val="20"/>
          <w:szCs w:val="20"/>
        </w:rPr>
      </w:pPr>
    </w:p>
    <w:p w:rsidR="009E2575" w:rsidRPr="002E5CEB" w:rsidRDefault="009E2575" w:rsidP="009E2575">
      <w:pPr>
        <w:pStyle w:val="Prrafodelista"/>
        <w:widowControl/>
        <w:numPr>
          <w:ilvl w:val="0"/>
          <w:numId w:val="6"/>
        </w:numPr>
        <w:suppressAutoHyphens w:val="0"/>
        <w:contextualSpacing/>
        <w:jc w:val="both"/>
        <w:rPr>
          <w:rFonts w:ascii="Tahoma" w:hAnsi="Tahoma" w:cs="Tahoma"/>
          <w:sz w:val="20"/>
        </w:rPr>
      </w:pPr>
      <w:r w:rsidRPr="002E5CEB">
        <w:rPr>
          <w:rFonts w:ascii="Tahoma" w:hAnsi="Tahoma" w:cs="Tahoma"/>
          <w:sz w:val="20"/>
        </w:rPr>
        <w:t>El valor referencial del proceso de Competencia Menor Nº 065-2010/OFP/PETROPERU, era reservado.</w:t>
      </w:r>
    </w:p>
    <w:p w:rsidR="009E2575" w:rsidRPr="002E5CEB" w:rsidRDefault="009E2575" w:rsidP="009E2575">
      <w:pPr>
        <w:pStyle w:val="Prrafodelista"/>
        <w:ind w:left="1002"/>
        <w:contextualSpacing/>
        <w:jc w:val="both"/>
        <w:rPr>
          <w:rFonts w:ascii="Tahoma" w:hAnsi="Tahoma" w:cs="Tahoma"/>
          <w:sz w:val="20"/>
        </w:rPr>
      </w:pPr>
    </w:p>
    <w:p w:rsidR="009E2575" w:rsidRPr="002E5CEB" w:rsidRDefault="009E2575" w:rsidP="009E2575">
      <w:pPr>
        <w:pStyle w:val="Prrafodelista"/>
        <w:widowControl/>
        <w:numPr>
          <w:ilvl w:val="0"/>
          <w:numId w:val="6"/>
        </w:numPr>
        <w:suppressAutoHyphens w:val="0"/>
        <w:contextualSpacing/>
        <w:jc w:val="both"/>
        <w:rPr>
          <w:rFonts w:ascii="Tahoma" w:hAnsi="Tahoma" w:cs="Tahoma"/>
          <w:sz w:val="20"/>
        </w:rPr>
      </w:pPr>
      <w:r w:rsidRPr="002E5CEB">
        <w:rPr>
          <w:rFonts w:ascii="Tahoma" w:hAnsi="Tahoma" w:cs="Tahoma"/>
          <w:sz w:val="20"/>
        </w:rPr>
        <w:t>Con fecha 01 de junio de 2010, vía correo electrónico, su distribuidor DRYWALLTEC SAC, alcanza los precios del producto requerido según el siguiente detalle:</w:t>
      </w:r>
    </w:p>
    <w:p w:rsidR="009E2575" w:rsidRPr="002E5CEB" w:rsidRDefault="009E2575" w:rsidP="009E2575">
      <w:pPr>
        <w:pStyle w:val="Prrafodelista"/>
        <w:ind w:left="1002"/>
        <w:contextualSpacing/>
        <w:jc w:val="both"/>
        <w:rPr>
          <w:rFonts w:ascii="Tahoma" w:hAnsi="Tahoma" w:cs="Tahoma"/>
          <w:sz w:val="20"/>
        </w:rPr>
      </w:pPr>
    </w:p>
    <w:tbl>
      <w:tblPr>
        <w:tblStyle w:val="Tablaconcuadrcula"/>
        <w:tblW w:w="0" w:type="auto"/>
        <w:tblInd w:w="1101" w:type="dxa"/>
        <w:tblLook w:val="04A0"/>
      </w:tblPr>
      <w:tblGrid>
        <w:gridCol w:w="3543"/>
        <w:gridCol w:w="1701"/>
        <w:gridCol w:w="2375"/>
      </w:tblGrid>
      <w:tr w:rsidR="009E2575" w:rsidRPr="002E5CEB" w:rsidTr="001B41EE">
        <w:tc>
          <w:tcPr>
            <w:tcW w:w="3543" w:type="dxa"/>
          </w:tcPr>
          <w:p w:rsidR="009E2575" w:rsidRPr="002E5CEB" w:rsidRDefault="009E2575" w:rsidP="001B41EE">
            <w:pPr>
              <w:pStyle w:val="Prrafodelista"/>
              <w:ind w:left="0"/>
              <w:contextualSpacing/>
              <w:jc w:val="center"/>
              <w:rPr>
                <w:rFonts w:ascii="Tahoma" w:hAnsi="Tahoma" w:cs="Tahoma"/>
                <w:sz w:val="20"/>
              </w:rPr>
            </w:pPr>
            <w:r w:rsidRPr="002E5CEB">
              <w:rPr>
                <w:rFonts w:ascii="Tahoma" w:hAnsi="Tahoma" w:cs="Tahoma"/>
                <w:sz w:val="20"/>
              </w:rPr>
              <w:t>PRODUCTO</w:t>
            </w:r>
          </w:p>
        </w:tc>
        <w:tc>
          <w:tcPr>
            <w:tcW w:w="1701" w:type="dxa"/>
          </w:tcPr>
          <w:p w:rsidR="009E2575" w:rsidRPr="002E5CEB" w:rsidRDefault="009E2575" w:rsidP="001B41EE">
            <w:pPr>
              <w:pStyle w:val="Prrafodelista"/>
              <w:ind w:left="0"/>
              <w:contextualSpacing/>
              <w:jc w:val="center"/>
              <w:rPr>
                <w:rFonts w:ascii="Tahoma" w:hAnsi="Tahoma" w:cs="Tahoma"/>
                <w:sz w:val="20"/>
              </w:rPr>
            </w:pPr>
            <w:r w:rsidRPr="002E5CEB">
              <w:rPr>
                <w:rFonts w:ascii="Tahoma" w:hAnsi="Tahoma" w:cs="Tahoma"/>
                <w:sz w:val="20"/>
              </w:rPr>
              <w:t>CANTIDAD</w:t>
            </w:r>
          </w:p>
        </w:tc>
        <w:tc>
          <w:tcPr>
            <w:tcW w:w="2375" w:type="dxa"/>
          </w:tcPr>
          <w:p w:rsidR="009E2575" w:rsidRPr="002E5CEB" w:rsidRDefault="009E2575" w:rsidP="001B41EE">
            <w:pPr>
              <w:pStyle w:val="Prrafodelista"/>
              <w:ind w:left="0"/>
              <w:contextualSpacing/>
              <w:jc w:val="center"/>
              <w:rPr>
                <w:rFonts w:ascii="Tahoma" w:hAnsi="Tahoma" w:cs="Tahoma"/>
                <w:sz w:val="20"/>
              </w:rPr>
            </w:pPr>
            <w:r w:rsidRPr="002E5CEB">
              <w:rPr>
                <w:rFonts w:ascii="Tahoma" w:hAnsi="Tahoma" w:cs="Tahoma"/>
                <w:sz w:val="20"/>
              </w:rPr>
              <w:t>IMPORTE</w:t>
            </w:r>
          </w:p>
        </w:tc>
      </w:tr>
      <w:tr w:rsidR="009E2575" w:rsidRPr="002E5CEB" w:rsidTr="001B41EE">
        <w:tc>
          <w:tcPr>
            <w:tcW w:w="3543" w:type="dxa"/>
          </w:tcPr>
          <w:p w:rsidR="009E2575" w:rsidRPr="002E5CEB" w:rsidRDefault="009E2575" w:rsidP="001B41EE">
            <w:pPr>
              <w:pStyle w:val="Prrafodelista"/>
              <w:ind w:left="0"/>
              <w:contextualSpacing/>
              <w:jc w:val="both"/>
              <w:rPr>
                <w:rFonts w:ascii="Tahoma" w:hAnsi="Tahoma" w:cs="Tahoma"/>
                <w:sz w:val="20"/>
                <w:lang w:val="en-US"/>
              </w:rPr>
            </w:pPr>
            <w:r w:rsidRPr="002E5CEB">
              <w:rPr>
                <w:rFonts w:ascii="Tahoma" w:hAnsi="Tahoma" w:cs="Tahoma"/>
                <w:sz w:val="20"/>
                <w:lang w:val="en-US"/>
              </w:rPr>
              <w:t>Baldosa Fine Fissured 2X4X5/8 BR</w:t>
            </w:r>
          </w:p>
        </w:tc>
        <w:tc>
          <w:tcPr>
            <w:tcW w:w="1701" w:type="dxa"/>
          </w:tcPr>
          <w:p w:rsidR="009E2575" w:rsidRPr="002E5CEB" w:rsidRDefault="009E2575" w:rsidP="001B41EE">
            <w:pPr>
              <w:pStyle w:val="Prrafodelista"/>
              <w:ind w:left="0"/>
              <w:contextualSpacing/>
              <w:jc w:val="both"/>
              <w:rPr>
                <w:rFonts w:ascii="Tahoma" w:hAnsi="Tahoma" w:cs="Tahoma"/>
                <w:sz w:val="20"/>
                <w:lang w:val="en-US"/>
              </w:rPr>
            </w:pPr>
            <w:r w:rsidRPr="002E5CEB">
              <w:rPr>
                <w:rFonts w:ascii="Tahoma" w:hAnsi="Tahoma" w:cs="Tahoma"/>
                <w:sz w:val="20"/>
                <w:lang w:val="en-US"/>
              </w:rPr>
              <w:t>1</w:t>
            </w:r>
          </w:p>
        </w:tc>
        <w:tc>
          <w:tcPr>
            <w:tcW w:w="2375" w:type="dxa"/>
          </w:tcPr>
          <w:p w:rsidR="009E2575" w:rsidRPr="002E5CEB" w:rsidRDefault="009E2575" w:rsidP="001B41EE">
            <w:pPr>
              <w:pStyle w:val="Prrafodelista"/>
              <w:ind w:left="0"/>
              <w:contextualSpacing/>
              <w:jc w:val="both"/>
              <w:rPr>
                <w:rFonts w:ascii="Tahoma" w:hAnsi="Tahoma" w:cs="Tahoma"/>
                <w:sz w:val="20"/>
                <w:lang w:val="en-US"/>
              </w:rPr>
            </w:pPr>
            <w:r w:rsidRPr="002E5CEB">
              <w:rPr>
                <w:rFonts w:ascii="Tahoma" w:hAnsi="Tahoma" w:cs="Tahoma"/>
                <w:sz w:val="20"/>
                <w:lang w:val="en-US"/>
              </w:rPr>
              <w:t>S/. 11.5839+IGV</w:t>
            </w:r>
          </w:p>
        </w:tc>
      </w:tr>
      <w:tr w:rsidR="009E2575" w:rsidRPr="002E5CEB" w:rsidTr="001B41EE">
        <w:tc>
          <w:tcPr>
            <w:tcW w:w="3543" w:type="dxa"/>
          </w:tcPr>
          <w:p w:rsidR="009E2575" w:rsidRPr="002E5CEB" w:rsidRDefault="009E2575" w:rsidP="001B41EE">
            <w:pPr>
              <w:pStyle w:val="Prrafodelista"/>
              <w:ind w:left="0"/>
              <w:contextualSpacing/>
              <w:jc w:val="both"/>
              <w:rPr>
                <w:rFonts w:ascii="Tahoma" w:hAnsi="Tahoma" w:cs="Tahoma"/>
                <w:sz w:val="20"/>
              </w:rPr>
            </w:pPr>
            <w:r w:rsidRPr="002E5CEB">
              <w:rPr>
                <w:rFonts w:ascii="Tahoma" w:hAnsi="Tahoma" w:cs="Tahoma"/>
                <w:sz w:val="20"/>
              </w:rPr>
              <w:t>Baldosa Sand Micro 2X4X5/8 BR</w:t>
            </w:r>
          </w:p>
        </w:tc>
        <w:tc>
          <w:tcPr>
            <w:tcW w:w="1701" w:type="dxa"/>
          </w:tcPr>
          <w:p w:rsidR="009E2575" w:rsidRPr="002E5CEB" w:rsidRDefault="009E2575" w:rsidP="001B41EE">
            <w:pPr>
              <w:pStyle w:val="Prrafodelista"/>
              <w:ind w:left="0"/>
              <w:contextualSpacing/>
              <w:jc w:val="both"/>
              <w:rPr>
                <w:rFonts w:ascii="Tahoma" w:hAnsi="Tahoma" w:cs="Tahoma"/>
                <w:sz w:val="20"/>
              </w:rPr>
            </w:pPr>
            <w:r w:rsidRPr="002E5CEB">
              <w:rPr>
                <w:rFonts w:ascii="Tahoma" w:hAnsi="Tahoma" w:cs="Tahoma"/>
                <w:sz w:val="20"/>
              </w:rPr>
              <w:t>1</w:t>
            </w:r>
          </w:p>
        </w:tc>
        <w:tc>
          <w:tcPr>
            <w:tcW w:w="2375" w:type="dxa"/>
          </w:tcPr>
          <w:p w:rsidR="009E2575" w:rsidRPr="002E5CEB" w:rsidRDefault="009E2575" w:rsidP="001B41EE">
            <w:pPr>
              <w:pStyle w:val="Prrafodelista"/>
              <w:ind w:left="0"/>
              <w:contextualSpacing/>
              <w:jc w:val="both"/>
              <w:rPr>
                <w:rFonts w:ascii="Tahoma" w:hAnsi="Tahoma" w:cs="Tahoma"/>
                <w:b/>
                <w:sz w:val="20"/>
              </w:rPr>
            </w:pPr>
            <w:r w:rsidRPr="002E5CEB">
              <w:rPr>
                <w:rFonts w:ascii="Tahoma" w:hAnsi="Tahoma" w:cs="Tahoma"/>
                <w:b/>
                <w:sz w:val="20"/>
              </w:rPr>
              <w:t>S/. 7649+IGV</w:t>
            </w:r>
          </w:p>
        </w:tc>
      </w:tr>
    </w:tbl>
    <w:p w:rsidR="009E2575" w:rsidRPr="002E5CEB" w:rsidRDefault="009E2575" w:rsidP="009E2575">
      <w:pPr>
        <w:pStyle w:val="Prrafodelista"/>
        <w:ind w:left="1002"/>
        <w:contextualSpacing/>
        <w:jc w:val="both"/>
        <w:rPr>
          <w:rFonts w:ascii="Tahoma" w:hAnsi="Tahoma" w:cs="Tahoma"/>
          <w:b/>
          <w:sz w:val="20"/>
        </w:rPr>
      </w:pPr>
    </w:p>
    <w:p w:rsidR="009E2575" w:rsidRPr="002E5CEB" w:rsidRDefault="009E2575" w:rsidP="009E2575">
      <w:pPr>
        <w:pStyle w:val="Prrafodelista"/>
        <w:widowControl/>
        <w:numPr>
          <w:ilvl w:val="0"/>
          <w:numId w:val="6"/>
        </w:numPr>
        <w:suppressAutoHyphens w:val="0"/>
        <w:contextualSpacing/>
        <w:jc w:val="both"/>
        <w:rPr>
          <w:rFonts w:ascii="Tahoma" w:hAnsi="Tahoma" w:cs="Tahoma"/>
          <w:sz w:val="20"/>
        </w:rPr>
      </w:pPr>
      <w:r w:rsidRPr="002E5CEB">
        <w:rPr>
          <w:rFonts w:ascii="Tahoma" w:hAnsi="Tahoma" w:cs="Tahoma"/>
          <w:sz w:val="20"/>
        </w:rPr>
        <w:t xml:space="preserve">Con fecha 07 de junio de 2010, presentaron su Propuesta Económica por un monto total de S/.48 000.00 para una cantidad total de 4000 baldosas marca Sand Micro. </w:t>
      </w:r>
    </w:p>
    <w:p w:rsidR="009E2575" w:rsidRPr="002E5CEB" w:rsidRDefault="009E2575" w:rsidP="009E2575">
      <w:pPr>
        <w:pStyle w:val="Prrafodelista"/>
        <w:ind w:left="1002"/>
        <w:contextualSpacing/>
        <w:jc w:val="both"/>
        <w:rPr>
          <w:rFonts w:ascii="Tahoma" w:hAnsi="Tahoma" w:cs="Tahoma"/>
          <w:sz w:val="20"/>
        </w:rPr>
      </w:pPr>
    </w:p>
    <w:p w:rsidR="009E2575" w:rsidRPr="002E5CEB" w:rsidRDefault="009E2575" w:rsidP="009E2575">
      <w:pPr>
        <w:pStyle w:val="Prrafodelista"/>
        <w:widowControl/>
        <w:numPr>
          <w:ilvl w:val="0"/>
          <w:numId w:val="6"/>
        </w:numPr>
        <w:suppressAutoHyphens w:val="0"/>
        <w:contextualSpacing/>
        <w:jc w:val="both"/>
        <w:rPr>
          <w:rFonts w:ascii="Tahoma" w:hAnsi="Tahoma" w:cs="Tahoma"/>
          <w:sz w:val="20"/>
        </w:rPr>
      </w:pPr>
      <w:r w:rsidRPr="002E5CEB">
        <w:rPr>
          <w:rFonts w:ascii="Tahoma" w:hAnsi="Tahoma" w:cs="Tahoma"/>
          <w:sz w:val="20"/>
        </w:rPr>
        <w:t>Con fecha 09 de junio de 2010 la Entidad le notificó el otorgamiento de la Buena Pro a su favor.</w:t>
      </w:r>
    </w:p>
    <w:p w:rsidR="009E2575" w:rsidRPr="002E5CEB" w:rsidRDefault="009E2575" w:rsidP="009E2575">
      <w:pPr>
        <w:pStyle w:val="Prrafodelista"/>
        <w:ind w:left="1002"/>
        <w:contextualSpacing/>
        <w:jc w:val="both"/>
        <w:rPr>
          <w:rFonts w:ascii="Tahoma" w:hAnsi="Tahoma" w:cs="Tahoma"/>
          <w:sz w:val="20"/>
        </w:rPr>
      </w:pPr>
    </w:p>
    <w:p w:rsidR="009E2575" w:rsidRPr="002E5CEB" w:rsidRDefault="009E2575" w:rsidP="009E2575">
      <w:pPr>
        <w:pStyle w:val="Prrafodelista"/>
        <w:widowControl/>
        <w:numPr>
          <w:ilvl w:val="0"/>
          <w:numId w:val="6"/>
        </w:numPr>
        <w:suppressAutoHyphens w:val="0"/>
        <w:contextualSpacing/>
        <w:jc w:val="both"/>
        <w:rPr>
          <w:rFonts w:ascii="Tahoma" w:hAnsi="Tahoma" w:cs="Tahoma"/>
          <w:sz w:val="20"/>
        </w:rPr>
      </w:pPr>
      <w:r w:rsidRPr="002E5CEB">
        <w:rPr>
          <w:rFonts w:ascii="Tahoma" w:hAnsi="Tahoma" w:cs="Tahoma"/>
          <w:sz w:val="20"/>
        </w:rPr>
        <w:t>Mediante Carta del 10 de junio de 2010, su distribuidor DRYWALLTEC le manifiesta lo siguiente:</w:t>
      </w:r>
    </w:p>
    <w:p w:rsidR="009E2575" w:rsidRPr="002E5CEB" w:rsidRDefault="009E2575" w:rsidP="009E2575">
      <w:pPr>
        <w:pStyle w:val="Prrafodelista"/>
        <w:rPr>
          <w:rFonts w:ascii="Tahoma" w:hAnsi="Tahoma" w:cs="Tahoma"/>
          <w:sz w:val="20"/>
        </w:rPr>
      </w:pPr>
    </w:p>
    <w:p w:rsidR="009E2575" w:rsidRPr="002E5CEB" w:rsidRDefault="009E2575" w:rsidP="009E2575">
      <w:pPr>
        <w:pStyle w:val="Prrafodelista"/>
        <w:ind w:left="1002"/>
        <w:contextualSpacing/>
        <w:jc w:val="both"/>
        <w:rPr>
          <w:rFonts w:ascii="Tahoma" w:hAnsi="Tahoma" w:cs="Tahoma"/>
          <w:i/>
          <w:sz w:val="20"/>
        </w:rPr>
      </w:pPr>
      <w:r w:rsidRPr="002E5CEB">
        <w:rPr>
          <w:rFonts w:ascii="Tahoma" w:hAnsi="Tahoma" w:cs="Tahoma"/>
          <w:i/>
          <w:sz w:val="20"/>
        </w:rPr>
        <w:t xml:space="preserve">“Por la presente reciban un cordial saludo de DRYWALLTEC, y a su vez presentarles las disculpas del caso, por el error involuntario que se presentó por motivos de querer brindarles un servicio rápido, se brindó el precio equivocado de lo que solicitaron cotizar, Baldosa Sand Micro 2X4X5/8 BR  </w:t>
      </w:r>
      <w:r w:rsidRPr="002E5CEB">
        <w:rPr>
          <w:rFonts w:ascii="Tahoma" w:hAnsi="Tahoma" w:cs="Tahoma"/>
          <w:b/>
          <w:i/>
          <w:sz w:val="20"/>
        </w:rPr>
        <w:t>S/.7.649 soles</w:t>
      </w:r>
      <w:r w:rsidRPr="002E5CEB">
        <w:rPr>
          <w:rFonts w:ascii="Tahoma" w:hAnsi="Tahoma" w:cs="Tahoma"/>
          <w:i/>
          <w:sz w:val="20"/>
        </w:rPr>
        <w:t xml:space="preserve"> + IGV cuando debió ser </w:t>
      </w:r>
      <w:r w:rsidRPr="002E5CEB">
        <w:rPr>
          <w:rFonts w:ascii="Tahoma" w:hAnsi="Tahoma" w:cs="Tahoma"/>
          <w:b/>
          <w:i/>
          <w:sz w:val="20"/>
        </w:rPr>
        <w:t>$ 7.649 dólares</w:t>
      </w:r>
      <w:r w:rsidRPr="002E5CEB">
        <w:rPr>
          <w:rFonts w:ascii="Tahoma" w:hAnsi="Tahoma" w:cs="Tahoma"/>
          <w:i/>
          <w:sz w:val="20"/>
        </w:rPr>
        <w:t xml:space="preserve"> + IGV.</w:t>
      </w:r>
    </w:p>
    <w:p w:rsidR="009E2575" w:rsidRPr="002E5CEB" w:rsidRDefault="009E2575" w:rsidP="009E2575">
      <w:pPr>
        <w:pStyle w:val="Prrafodelista"/>
        <w:ind w:left="1002"/>
        <w:contextualSpacing/>
        <w:jc w:val="both"/>
        <w:rPr>
          <w:rFonts w:ascii="Tahoma" w:hAnsi="Tahoma" w:cs="Tahoma"/>
          <w:i/>
          <w:sz w:val="20"/>
        </w:rPr>
      </w:pPr>
      <w:r w:rsidRPr="002E5CEB">
        <w:rPr>
          <w:rFonts w:ascii="Tahoma" w:hAnsi="Tahoma" w:cs="Tahoma"/>
          <w:i/>
          <w:sz w:val="20"/>
        </w:rPr>
        <w:t>Esperando sepan comprender este involuntario error.</w:t>
      </w:r>
    </w:p>
    <w:p w:rsidR="009E2575" w:rsidRPr="002E5CEB" w:rsidRDefault="009E2575" w:rsidP="009E2575">
      <w:pPr>
        <w:pStyle w:val="Prrafodelista"/>
        <w:ind w:left="1002"/>
        <w:contextualSpacing/>
        <w:jc w:val="both"/>
        <w:rPr>
          <w:rFonts w:ascii="Tahoma" w:hAnsi="Tahoma" w:cs="Tahoma"/>
          <w:i/>
          <w:sz w:val="20"/>
        </w:rPr>
      </w:pPr>
      <w:r w:rsidRPr="002E5CEB">
        <w:rPr>
          <w:rFonts w:ascii="Tahoma" w:hAnsi="Tahoma" w:cs="Tahoma"/>
          <w:i/>
          <w:sz w:val="20"/>
        </w:rPr>
        <w:t>Agradecidos se sirvan dispensar a la presente, estaremos a vuestro servicio.”</w:t>
      </w:r>
    </w:p>
    <w:p w:rsidR="009E2575" w:rsidRPr="002E5CEB" w:rsidRDefault="009E2575" w:rsidP="009E2575">
      <w:pPr>
        <w:contextualSpacing/>
        <w:jc w:val="both"/>
        <w:rPr>
          <w:rFonts w:ascii="Tahoma" w:hAnsi="Tahoma" w:cs="Tahoma"/>
          <w:sz w:val="20"/>
          <w:szCs w:val="20"/>
        </w:rPr>
      </w:pPr>
    </w:p>
    <w:p w:rsidR="009E2575" w:rsidRDefault="009E2575" w:rsidP="009E2575">
      <w:pPr>
        <w:pStyle w:val="Prrafodelista"/>
        <w:widowControl/>
        <w:numPr>
          <w:ilvl w:val="0"/>
          <w:numId w:val="5"/>
        </w:numPr>
        <w:suppressAutoHyphens w:val="0"/>
        <w:ind w:left="567" w:hanging="567"/>
        <w:contextualSpacing/>
        <w:jc w:val="both"/>
        <w:rPr>
          <w:rFonts w:ascii="Tahoma" w:hAnsi="Tahoma" w:cs="Tahoma"/>
          <w:sz w:val="20"/>
        </w:rPr>
      </w:pPr>
      <w:r w:rsidRPr="002E5CEB">
        <w:rPr>
          <w:rFonts w:ascii="Tahoma" w:hAnsi="Tahoma" w:cs="Tahoma"/>
          <w:sz w:val="20"/>
        </w:rPr>
        <w:t>Mediante decreto del 31 de enero de 2011, la Secretaría del Tribunal tuvo por apersonada a la empresa Corporación Nuevo Mundo SAC y se remitió el expediente a la Primera Sala del Tribunal.</w:t>
      </w:r>
    </w:p>
    <w:p w:rsidR="009E2575" w:rsidRPr="002E5CEB" w:rsidRDefault="009E2575" w:rsidP="009E2575">
      <w:pPr>
        <w:pStyle w:val="Prrafodelista"/>
        <w:widowControl/>
        <w:suppressAutoHyphens w:val="0"/>
        <w:ind w:left="567"/>
        <w:contextualSpacing/>
        <w:jc w:val="both"/>
        <w:rPr>
          <w:rFonts w:ascii="Tahoma" w:hAnsi="Tahoma" w:cs="Tahoma"/>
          <w:sz w:val="20"/>
        </w:rPr>
      </w:pPr>
    </w:p>
    <w:p w:rsidR="009E2575" w:rsidRPr="00452B70" w:rsidRDefault="009E2575" w:rsidP="009E2575">
      <w:pPr>
        <w:pStyle w:val="Prrafodelista"/>
        <w:ind w:left="567"/>
        <w:jc w:val="both"/>
        <w:rPr>
          <w:rFonts w:ascii="Tahoma" w:hAnsi="Tahoma" w:cs="Tahoma"/>
          <w:b/>
          <w:shadow/>
          <w:sz w:val="20"/>
        </w:rPr>
      </w:pPr>
      <w:r w:rsidRPr="00452B70">
        <w:rPr>
          <w:rFonts w:ascii="Tahoma" w:hAnsi="Tahoma" w:cs="Tahoma"/>
          <w:b/>
          <w:sz w:val="20"/>
        </w:rPr>
        <w:t>FUNDAMENTACIÓN:</w:t>
      </w:r>
    </w:p>
    <w:p w:rsidR="009E2575" w:rsidRPr="00452B70" w:rsidRDefault="009E2575" w:rsidP="009E2575">
      <w:pPr>
        <w:pStyle w:val="Prrafodelista"/>
        <w:ind w:left="567"/>
        <w:jc w:val="both"/>
        <w:rPr>
          <w:rFonts w:ascii="Tahoma" w:hAnsi="Tahoma" w:cs="Tahoma"/>
          <w:b/>
          <w:shadow/>
          <w:sz w:val="20"/>
        </w:rPr>
      </w:pPr>
    </w:p>
    <w:p w:rsidR="009E2575" w:rsidRPr="002E5CEB" w:rsidRDefault="009E2575" w:rsidP="009E2575">
      <w:pPr>
        <w:pStyle w:val="Textoindependiente"/>
        <w:ind w:left="567"/>
        <w:jc w:val="both"/>
        <w:rPr>
          <w:rFonts w:ascii="Tahoma" w:hAnsi="Tahoma" w:cs="Tahoma"/>
          <w:b/>
          <w:sz w:val="20"/>
          <w:szCs w:val="20"/>
          <w:lang w:val="es-MX"/>
        </w:rPr>
      </w:pPr>
      <w:r w:rsidRPr="002E5CEB">
        <w:rPr>
          <w:rFonts w:ascii="Tahoma" w:hAnsi="Tahoma" w:cs="Tahoma"/>
          <w:b/>
          <w:sz w:val="20"/>
          <w:szCs w:val="20"/>
          <w:lang w:val="es-MX"/>
        </w:rPr>
        <w:t>Cuestión Previa</w:t>
      </w:r>
    </w:p>
    <w:p w:rsidR="009E2575" w:rsidRPr="002E5CEB" w:rsidRDefault="009E2575" w:rsidP="009E2575">
      <w:pPr>
        <w:numPr>
          <w:ilvl w:val="0"/>
          <w:numId w:val="7"/>
        </w:numPr>
        <w:tabs>
          <w:tab w:val="clear" w:pos="360"/>
        </w:tabs>
        <w:ind w:left="567" w:hanging="567"/>
        <w:jc w:val="both"/>
        <w:rPr>
          <w:rFonts w:ascii="Tahoma" w:hAnsi="Tahoma" w:cs="Tahoma"/>
          <w:b/>
          <w:sz w:val="20"/>
          <w:szCs w:val="20"/>
        </w:rPr>
      </w:pPr>
      <w:r w:rsidRPr="002E5CEB">
        <w:rPr>
          <w:rFonts w:ascii="Tahoma" w:hAnsi="Tahoma" w:cs="Tahoma"/>
          <w:sz w:val="20"/>
          <w:szCs w:val="20"/>
          <w:lang w:val="es-PE"/>
        </w:rPr>
        <w:t>Habiéndose advertido que el presente proceso deriva de un proceso de selección por Competencia Menor, resulta pertinente evaluar el marco normativo que rige el citado proceso, a fin de determinar la competencia de este Tribunal para conocer la denuncia presentada por la Entidad.</w:t>
      </w:r>
    </w:p>
    <w:p w:rsidR="009E2575" w:rsidRPr="002E5CEB" w:rsidRDefault="009E2575" w:rsidP="009E2575">
      <w:pPr>
        <w:ind w:left="567"/>
        <w:jc w:val="both"/>
        <w:rPr>
          <w:rFonts w:ascii="Tahoma" w:hAnsi="Tahoma" w:cs="Tahoma"/>
          <w:b/>
          <w:sz w:val="20"/>
          <w:szCs w:val="20"/>
        </w:rPr>
      </w:pPr>
    </w:p>
    <w:p w:rsidR="009E2575" w:rsidRPr="002E5CEB" w:rsidRDefault="009E2575" w:rsidP="009E2575">
      <w:pPr>
        <w:numPr>
          <w:ilvl w:val="0"/>
          <w:numId w:val="7"/>
        </w:numPr>
        <w:tabs>
          <w:tab w:val="clear" w:pos="360"/>
        </w:tabs>
        <w:ind w:left="567" w:hanging="567"/>
        <w:jc w:val="both"/>
        <w:rPr>
          <w:rFonts w:ascii="Tahoma" w:hAnsi="Tahoma" w:cs="Tahoma"/>
          <w:b/>
          <w:sz w:val="20"/>
          <w:szCs w:val="20"/>
        </w:rPr>
      </w:pPr>
      <w:r w:rsidRPr="002E5CEB">
        <w:rPr>
          <w:rFonts w:ascii="Tahoma" w:hAnsi="Tahoma" w:cs="Tahoma"/>
          <w:sz w:val="20"/>
          <w:szCs w:val="20"/>
          <w:lang w:val="es-PE"/>
        </w:rPr>
        <w:t>Mediante Ley Nº 28840</w:t>
      </w:r>
      <w:r w:rsidRPr="002E5CEB">
        <w:rPr>
          <w:rFonts w:ascii="Tahoma" w:hAnsi="Tahoma" w:cs="Tahoma"/>
          <w:sz w:val="20"/>
          <w:szCs w:val="20"/>
          <w:vertAlign w:val="superscript"/>
          <w:lang w:val="es-PE"/>
        </w:rPr>
        <w:footnoteReference w:id="2"/>
      </w:r>
      <w:r w:rsidRPr="002E5CEB">
        <w:rPr>
          <w:rFonts w:ascii="Tahoma" w:hAnsi="Tahoma" w:cs="Tahoma"/>
          <w:sz w:val="20"/>
          <w:szCs w:val="20"/>
          <w:lang w:val="es-PE"/>
        </w:rPr>
        <w:t xml:space="preserve"> se declaró de interés nacional el fortalecimiento y modernización de Petróleos del Perú S.A.-PETROPERÚ, en lo sucesivo PETROPERÚ, estableciéndose que sus actividades deben desarrollarse en el marco de dicha Ley, su Ley Orgánica, el Decreto Legislativo Nº 43 y su modificatoria, la Ley Nº 26224, su Estatuto Social y supletoriamente por las disposiciones de la Ley General de Sociedades.</w:t>
      </w:r>
    </w:p>
    <w:p w:rsidR="009E2575" w:rsidRPr="002E5CEB" w:rsidRDefault="009E2575" w:rsidP="009E2575">
      <w:pPr>
        <w:pStyle w:val="Prrafodelista"/>
        <w:rPr>
          <w:rFonts w:ascii="Tahoma" w:hAnsi="Tahoma" w:cs="Tahoma"/>
          <w:sz w:val="20"/>
        </w:rPr>
      </w:pPr>
    </w:p>
    <w:p w:rsidR="009E2575" w:rsidRPr="002E5CEB" w:rsidRDefault="009E2575" w:rsidP="009E2575">
      <w:pPr>
        <w:numPr>
          <w:ilvl w:val="0"/>
          <w:numId w:val="7"/>
        </w:numPr>
        <w:tabs>
          <w:tab w:val="clear" w:pos="360"/>
        </w:tabs>
        <w:ind w:left="567" w:hanging="567"/>
        <w:jc w:val="both"/>
        <w:rPr>
          <w:rFonts w:ascii="Tahoma" w:hAnsi="Tahoma" w:cs="Tahoma"/>
          <w:b/>
          <w:sz w:val="20"/>
          <w:szCs w:val="20"/>
        </w:rPr>
      </w:pPr>
      <w:r w:rsidRPr="002E5CEB">
        <w:rPr>
          <w:rFonts w:ascii="Tahoma" w:hAnsi="Tahoma" w:cs="Tahoma"/>
          <w:sz w:val="20"/>
          <w:szCs w:val="20"/>
          <w:lang w:val="es-PE"/>
        </w:rPr>
        <w:t xml:space="preserve">La Segunda Disposición Complementaria de la Ley Nº 28840 refiere que las adquisiciones y contrataciones de PETROPERÚ se rigen por su Reglamento, propuesto por su Directorio y aprobado por el OSCE. Asimismo, establece que las modalidades de adquisiciones y contrataciones de PETROPERÚ serán definidas en su Reglamento y se regirán por los </w:t>
      </w:r>
      <w:r w:rsidRPr="002E5CEB">
        <w:rPr>
          <w:rFonts w:ascii="Tahoma" w:hAnsi="Tahoma" w:cs="Tahoma"/>
          <w:sz w:val="20"/>
          <w:szCs w:val="20"/>
          <w:lang w:val="es-PE"/>
        </w:rPr>
        <w:lastRenderedPageBreak/>
        <w:t xml:space="preserve">principios de eficiencia, economía, transparencia y auditabilidad, así como los demás principios contenidos en la legislación de la materia. </w:t>
      </w:r>
    </w:p>
    <w:p w:rsidR="009E2575" w:rsidRPr="002E5CEB" w:rsidRDefault="009E2575" w:rsidP="009E2575">
      <w:pPr>
        <w:pStyle w:val="Prrafodelista"/>
        <w:rPr>
          <w:rFonts w:ascii="Tahoma" w:hAnsi="Tahoma" w:cs="Tahoma"/>
          <w:sz w:val="20"/>
          <w:lang w:val="es-PE"/>
        </w:rPr>
      </w:pPr>
    </w:p>
    <w:p w:rsidR="009E2575" w:rsidRPr="002E5CEB" w:rsidRDefault="009E2575" w:rsidP="009E2575">
      <w:pPr>
        <w:numPr>
          <w:ilvl w:val="0"/>
          <w:numId w:val="7"/>
        </w:numPr>
        <w:tabs>
          <w:tab w:val="clear" w:pos="360"/>
        </w:tabs>
        <w:ind w:left="567" w:hanging="567"/>
        <w:jc w:val="both"/>
        <w:rPr>
          <w:rFonts w:ascii="Tahoma" w:hAnsi="Tahoma" w:cs="Tahoma"/>
          <w:b/>
          <w:sz w:val="20"/>
          <w:szCs w:val="20"/>
        </w:rPr>
      </w:pPr>
      <w:r w:rsidRPr="002E5CEB">
        <w:rPr>
          <w:rFonts w:ascii="Tahoma" w:hAnsi="Tahoma" w:cs="Tahoma"/>
          <w:sz w:val="20"/>
          <w:szCs w:val="20"/>
          <w:lang w:val="es-PE"/>
        </w:rPr>
        <w:t>En tal sentido, mediante Resolución Nº 523-2009-OSCE/PRE</w:t>
      </w:r>
      <w:r w:rsidRPr="002E5CEB">
        <w:rPr>
          <w:rFonts w:ascii="Tahoma" w:hAnsi="Tahoma" w:cs="Tahoma"/>
          <w:sz w:val="20"/>
          <w:szCs w:val="20"/>
          <w:vertAlign w:val="superscript"/>
          <w:lang w:val="es-PE"/>
        </w:rPr>
        <w:footnoteReference w:id="3"/>
      </w:r>
      <w:r w:rsidRPr="002E5CEB">
        <w:rPr>
          <w:rFonts w:ascii="Tahoma" w:hAnsi="Tahoma" w:cs="Tahoma"/>
          <w:sz w:val="20"/>
          <w:szCs w:val="20"/>
          <w:lang w:val="es-PE"/>
        </w:rPr>
        <w:t xml:space="preserve"> se aprobó el Reglamento de Adquisiciones y Contrataciones de Petróleos del Perú S.A., en adelante el Reglamento de PETROPERÚ, el cual tiene como objetivo regular de manera integral y uniforme los procedimientos de adquisiciones de bienes y contrataciones de servicios y obras necesarios para el cumplimiento del objeto social de PETROPERÚ.</w:t>
      </w:r>
    </w:p>
    <w:p w:rsidR="009E2575" w:rsidRPr="002E5CEB" w:rsidRDefault="009E2575" w:rsidP="009E2575">
      <w:pPr>
        <w:pStyle w:val="Prrafodelista"/>
        <w:rPr>
          <w:rFonts w:ascii="Tahoma" w:hAnsi="Tahoma" w:cs="Tahoma"/>
          <w:sz w:val="20"/>
        </w:rPr>
      </w:pPr>
    </w:p>
    <w:p w:rsidR="009E2575" w:rsidRPr="002E5CEB" w:rsidRDefault="009E2575" w:rsidP="009E2575">
      <w:pPr>
        <w:numPr>
          <w:ilvl w:val="0"/>
          <w:numId w:val="7"/>
        </w:numPr>
        <w:tabs>
          <w:tab w:val="clear" w:pos="360"/>
        </w:tabs>
        <w:ind w:left="567" w:hanging="567"/>
        <w:jc w:val="both"/>
        <w:rPr>
          <w:rFonts w:ascii="Tahoma" w:hAnsi="Tahoma" w:cs="Tahoma"/>
          <w:b/>
          <w:sz w:val="20"/>
          <w:szCs w:val="20"/>
        </w:rPr>
      </w:pPr>
      <w:r w:rsidRPr="002E5CEB">
        <w:rPr>
          <w:rFonts w:ascii="Tahoma" w:hAnsi="Tahoma" w:cs="Tahoma"/>
          <w:sz w:val="20"/>
          <w:szCs w:val="20"/>
          <w:lang w:val="es-ES_tradnl"/>
        </w:rPr>
        <w:t xml:space="preserve">Asimismo, el numeral 5.12 del citado Reglamento de PETROPERÚ, dispone que con relación al Registro Nacional de Proveedores (RNP), Sistema Electrónico de Contrataciones del Estado (SEACE), recursos de impugnación y </w:t>
      </w:r>
      <w:r w:rsidRPr="002E5CEB">
        <w:rPr>
          <w:rFonts w:ascii="Tahoma" w:hAnsi="Tahoma" w:cs="Tahoma"/>
          <w:b/>
          <w:sz w:val="20"/>
          <w:szCs w:val="20"/>
          <w:lang w:val="es-ES_tradnl"/>
        </w:rPr>
        <w:t xml:space="preserve">procedimientos administrativos sancionadores que se tramitan ante el Tribunal de Contrataciones del Estado, </w:t>
      </w:r>
      <w:r w:rsidRPr="002E5CEB">
        <w:rPr>
          <w:rFonts w:ascii="Tahoma" w:hAnsi="Tahoma" w:cs="Tahoma"/>
          <w:sz w:val="20"/>
          <w:szCs w:val="20"/>
          <w:lang w:val="es-ES_tradnl"/>
        </w:rPr>
        <w:t>será de aplicación el Decreto Legislativo Nº 1017, Ley de Contrataciones del Estado y su Reglamento aprobado por Decreto Supremo Nº 184-2008-EF.</w:t>
      </w:r>
    </w:p>
    <w:p w:rsidR="009E2575" w:rsidRPr="002E5CEB" w:rsidRDefault="009E2575" w:rsidP="009E2575">
      <w:pPr>
        <w:pStyle w:val="Prrafodelista"/>
        <w:rPr>
          <w:rFonts w:ascii="Tahoma" w:hAnsi="Tahoma" w:cs="Tahoma"/>
          <w:sz w:val="20"/>
        </w:rPr>
      </w:pPr>
    </w:p>
    <w:p w:rsidR="009E2575" w:rsidRPr="002E5CEB" w:rsidRDefault="009E2575" w:rsidP="009E2575">
      <w:pPr>
        <w:numPr>
          <w:ilvl w:val="0"/>
          <w:numId w:val="7"/>
        </w:numPr>
        <w:tabs>
          <w:tab w:val="clear" w:pos="360"/>
        </w:tabs>
        <w:ind w:left="567" w:hanging="567"/>
        <w:jc w:val="both"/>
        <w:rPr>
          <w:rFonts w:ascii="Tahoma" w:hAnsi="Tahoma" w:cs="Tahoma"/>
          <w:b/>
          <w:sz w:val="20"/>
          <w:szCs w:val="20"/>
        </w:rPr>
      </w:pPr>
      <w:r w:rsidRPr="002E5CEB">
        <w:rPr>
          <w:rFonts w:ascii="Tahoma" w:hAnsi="Tahoma" w:cs="Tahoma"/>
          <w:sz w:val="20"/>
          <w:szCs w:val="20"/>
          <w:lang w:val="es-ES_tradnl"/>
        </w:rPr>
        <w:t>Por estas consideraciones, este Colegiado resulta</w:t>
      </w:r>
      <w:r w:rsidRPr="002E5CEB">
        <w:rPr>
          <w:rFonts w:ascii="Tahoma" w:hAnsi="Tahoma" w:cs="Tahoma"/>
          <w:b/>
          <w:sz w:val="20"/>
          <w:szCs w:val="20"/>
          <w:lang w:val="es-ES_tradnl"/>
        </w:rPr>
        <w:t xml:space="preserve"> </w:t>
      </w:r>
      <w:r w:rsidRPr="002E5CEB">
        <w:rPr>
          <w:rFonts w:ascii="Tahoma" w:hAnsi="Tahoma" w:cs="Tahoma"/>
          <w:sz w:val="20"/>
          <w:szCs w:val="20"/>
          <w:lang w:val="es-PE"/>
        </w:rPr>
        <w:t>competente para pronunciarse sobre la supuesta responsabilidad de la Denunciada,</w:t>
      </w:r>
      <w:r w:rsidRPr="002E5CEB">
        <w:rPr>
          <w:rFonts w:ascii="Tahoma" w:hAnsi="Tahoma" w:cs="Tahoma"/>
          <w:sz w:val="20"/>
          <w:szCs w:val="20"/>
        </w:rPr>
        <w:t xml:space="preserve"> por la presentación de documentos falsos o inexactos, infracción prevista en el</w:t>
      </w:r>
      <w:r w:rsidRPr="002E5CEB">
        <w:rPr>
          <w:rFonts w:ascii="Tahoma" w:eastAsia="MS Mincho" w:hAnsi="Tahoma" w:cs="Tahoma"/>
          <w:sz w:val="20"/>
          <w:szCs w:val="20"/>
        </w:rPr>
        <w:t xml:space="preserve"> literal i) del numeral 51.1 del artículo 51 de la Ley de Contrataciones del Estado, aprobado mediante Decreto Legislativo Nº 1017, en adelante la Ley, y el literal i) del numeral 1 del artículo 237 del Reglamento de la Ley de Contrataciones del Estado, aprobado mediante Decreto Supremo Nº 184-2008-EF, en adelante el Reglamento</w:t>
      </w:r>
      <w:r w:rsidRPr="002E5CEB">
        <w:rPr>
          <w:rFonts w:ascii="Tahoma" w:hAnsi="Tahoma" w:cs="Tahoma"/>
          <w:sz w:val="20"/>
          <w:szCs w:val="20"/>
        </w:rPr>
        <w:t>, normas vigentes al momento de producirse los hechos que motivaron la resolución de dicho contrato.</w:t>
      </w:r>
    </w:p>
    <w:p w:rsidR="009E2575" w:rsidRPr="002E5CEB" w:rsidRDefault="009E2575" w:rsidP="009E2575">
      <w:pPr>
        <w:widowControl w:val="0"/>
        <w:suppressAutoHyphens/>
        <w:rPr>
          <w:rFonts w:ascii="Tahoma" w:eastAsia="MS Mincho" w:hAnsi="Tahoma" w:cs="Tahoma"/>
          <w:b/>
          <w:sz w:val="20"/>
          <w:szCs w:val="20"/>
          <w:lang w:val="es-ES_tradnl"/>
        </w:rPr>
      </w:pPr>
    </w:p>
    <w:p w:rsidR="009E2575" w:rsidRPr="002E5CEB" w:rsidRDefault="009E2575" w:rsidP="009E2575">
      <w:pPr>
        <w:autoSpaceDE w:val="0"/>
        <w:autoSpaceDN w:val="0"/>
        <w:adjustRightInd w:val="0"/>
        <w:ind w:left="567"/>
        <w:jc w:val="both"/>
        <w:rPr>
          <w:rFonts w:ascii="Tahoma" w:eastAsiaTheme="minorHAnsi" w:hAnsi="Tahoma" w:cs="Tahoma"/>
          <w:b/>
          <w:bCs/>
          <w:i/>
          <w:iCs/>
          <w:color w:val="000000"/>
          <w:sz w:val="20"/>
          <w:szCs w:val="20"/>
          <w:lang w:eastAsia="en-US"/>
        </w:rPr>
      </w:pPr>
      <w:r w:rsidRPr="002E5CEB">
        <w:rPr>
          <w:rFonts w:ascii="Tahoma" w:eastAsiaTheme="minorHAnsi" w:hAnsi="Tahoma" w:cs="Tahoma"/>
          <w:b/>
          <w:bCs/>
          <w:i/>
          <w:iCs/>
          <w:color w:val="000000"/>
          <w:sz w:val="20"/>
          <w:szCs w:val="20"/>
          <w:lang w:eastAsia="en-US"/>
        </w:rPr>
        <w:t>Sobre el procedimiento seguido por la Entidad para la suscripción del contrato</w:t>
      </w:r>
    </w:p>
    <w:p w:rsidR="009E2575" w:rsidRPr="002E5CEB" w:rsidRDefault="009E2575" w:rsidP="009E2575">
      <w:pPr>
        <w:autoSpaceDE w:val="0"/>
        <w:autoSpaceDN w:val="0"/>
        <w:adjustRightInd w:val="0"/>
        <w:ind w:left="567"/>
        <w:jc w:val="both"/>
        <w:rPr>
          <w:rFonts w:ascii="Tahoma" w:eastAsiaTheme="minorHAnsi" w:hAnsi="Tahoma" w:cs="Tahoma"/>
          <w:b/>
          <w:bCs/>
          <w:i/>
          <w:iCs/>
          <w:color w:val="000000"/>
          <w:sz w:val="20"/>
          <w:szCs w:val="20"/>
          <w:lang w:eastAsia="en-US"/>
        </w:rPr>
      </w:pPr>
    </w:p>
    <w:p w:rsidR="009E2575" w:rsidRPr="002E5CEB" w:rsidRDefault="009E2575" w:rsidP="009E2575">
      <w:pPr>
        <w:numPr>
          <w:ilvl w:val="0"/>
          <w:numId w:val="7"/>
        </w:numPr>
        <w:tabs>
          <w:tab w:val="clear" w:pos="360"/>
        </w:tabs>
        <w:ind w:left="567" w:hanging="567"/>
        <w:jc w:val="both"/>
        <w:rPr>
          <w:rFonts w:ascii="Tahoma" w:hAnsi="Tahoma" w:cs="Tahoma"/>
          <w:b/>
          <w:sz w:val="20"/>
          <w:szCs w:val="20"/>
        </w:rPr>
      </w:pPr>
      <w:r w:rsidRPr="002E5CEB">
        <w:rPr>
          <w:rFonts w:ascii="Tahoma" w:hAnsi="Tahoma" w:cs="Tahoma"/>
          <w:sz w:val="20"/>
          <w:szCs w:val="20"/>
        </w:rPr>
        <w:t xml:space="preserve">Ahora bien, en el presente caso, se ha denunciado al Postor por su supuesta responsabilidad </w:t>
      </w:r>
      <w:r w:rsidRPr="002E5CEB">
        <w:rPr>
          <w:rFonts w:ascii="Tahoma" w:hAnsi="Tahoma" w:cs="Tahoma"/>
          <w:sz w:val="20"/>
          <w:szCs w:val="20"/>
          <w:lang w:eastAsia="es-PE"/>
        </w:rPr>
        <w:t xml:space="preserve">al no haber suscrito injustificadamente </w:t>
      </w:r>
      <w:r w:rsidRPr="002E5CEB">
        <w:rPr>
          <w:rFonts w:ascii="Tahoma" w:eastAsiaTheme="minorHAnsi" w:hAnsi="Tahoma" w:cs="Tahoma"/>
          <w:iCs/>
          <w:color w:val="000000"/>
          <w:sz w:val="20"/>
          <w:szCs w:val="20"/>
          <w:lang w:eastAsia="en-US"/>
        </w:rPr>
        <w:t xml:space="preserve">la Orden de Compra </w:t>
      </w:r>
      <w:r w:rsidRPr="002E5CEB">
        <w:rPr>
          <w:rFonts w:ascii="Tahoma" w:hAnsi="Tahoma" w:cs="Tahoma"/>
          <w:sz w:val="20"/>
          <w:szCs w:val="20"/>
          <w:lang w:eastAsia="es-PE"/>
        </w:rPr>
        <w:t xml:space="preserve">derivado del </w:t>
      </w:r>
      <w:r w:rsidRPr="002E5CEB">
        <w:rPr>
          <w:rFonts w:ascii="Tahoma" w:eastAsiaTheme="minorHAnsi" w:hAnsi="Tahoma" w:cs="Tahoma"/>
          <w:iCs/>
          <w:color w:val="000000"/>
          <w:sz w:val="20"/>
          <w:szCs w:val="20"/>
          <w:lang w:eastAsia="en-US"/>
        </w:rPr>
        <w:t>Proceso por Competencia Menor Nº CME-0065-2010-OFP/PETROPERU</w:t>
      </w:r>
      <w:r w:rsidRPr="002E5CEB">
        <w:rPr>
          <w:rFonts w:ascii="Tahoma" w:hAnsi="Tahoma" w:cs="Tahoma"/>
          <w:sz w:val="20"/>
          <w:szCs w:val="20"/>
        </w:rPr>
        <w:t>, a pesar de haber sido ganador del otorgamiento de la buena pro, infracción tipificada en el literal a) del artículo 51 de la Ley, en concordancia con el literal a) del numeral 1 del artículo 237 del Reglamento, normas vigentes al momento de suscitarse los hechos materia de denuncia.</w:t>
      </w:r>
    </w:p>
    <w:p w:rsidR="009E2575" w:rsidRPr="002E5CEB" w:rsidRDefault="009E2575" w:rsidP="009E2575">
      <w:pPr>
        <w:ind w:left="567"/>
        <w:jc w:val="both"/>
        <w:rPr>
          <w:rFonts w:ascii="Tahoma" w:hAnsi="Tahoma" w:cs="Tahoma"/>
          <w:b/>
          <w:sz w:val="20"/>
          <w:szCs w:val="20"/>
        </w:rPr>
      </w:pPr>
    </w:p>
    <w:p w:rsidR="009E2575" w:rsidRPr="002E5CEB" w:rsidRDefault="009E2575" w:rsidP="009E2575">
      <w:pPr>
        <w:numPr>
          <w:ilvl w:val="0"/>
          <w:numId w:val="7"/>
        </w:numPr>
        <w:tabs>
          <w:tab w:val="clear" w:pos="360"/>
        </w:tabs>
        <w:ind w:left="567" w:hanging="567"/>
        <w:jc w:val="both"/>
        <w:rPr>
          <w:rFonts w:ascii="Tahoma" w:hAnsi="Tahoma" w:cs="Tahoma"/>
          <w:b/>
          <w:sz w:val="20"/>
          <w:szCs w:val="20"/>
        </w:rPr>
      </w:pPr>
      <w:r w:rsidRPr="002E5CEB">
        <w:rPr>
          <w:rFonts w:ascii="Tahoma" w:hAnsi="Tahoma" w:cs="Tahoma"/>
          <w:sz w:val="20"/>
          <w:szCs w:val="20"/>
          <w:lang w:val="es-MX"/>
        </w:rPr>
        <w:t xml:space="preserve">Conforme a los criterios utilizados por el Tribunal en anteriores oportunidades, para que </w:t>
      </w:r>
      <w:r w:rsidRPr="002E5CEB">
        <w:rPr>
          <w:rFonts w:ascii="Tahoma" w:hAnsi="Tahoma" w:cs="Tahoma"/>
          <w:sz w:val="20"/>
          <w:szCs w:val="20"/>
        </w:rPr>
        <w:t>dicha infracción se configure debe acreditarse que la Entidad haya cumplido con el procedimiento y los plazos establecidos para la suscripción del contrato, regulados en el artículo 148 del Reglamento.</w:t>
      </w:r>
    </w:p>
    <w:p w:rsidR="009E2575" w:rsidRPr="002E5CEB" w:rsidRDefault="009E2575" w:rsidP="009E2575">
      <w:pPr>
        <w:pStyle w:val="Prrafodelista"/>
        <w:rPr>
          <w:rFonts w:ascii="Tahoma" w:hAnsi="Tahoma" w:cs="Tahoma"/>
          <w:b/>
          <w:sz w:val="20"/>
        </w:rPr>
      </w:pPr>
    </w:p>
    <w:p w:rsidR="009E2575" w:rsidRPr="002E5CEB" w:rsidRDefault="009E2575" w:rsidP="009E2575">
      <w:pPr>
        <w:numPr>
          <w:ilvl w:val="0"/>
          <w:numId w:val="7"/>
        </w:numPr>
        <w:tabs>
          <w:tab w:val="clear" w:pos="360"/>
        </w:tabs>
        <w:ind w:left="567" w:hanging="567"/>
        <w:jc w:val="both"/>
        <w:rPr>
          <w:rFonts w:ascii="Tahoma" w:hAnsi="Tahoma" w:cs="Tahoma"/>
          <w:b/>
          <w:sz w:val="20"/>
          <w:szCs w:val="20"/>
        </w:rPr>
      </w:pPr>
      <w:r w:rsidRPr="002E5CEB">
        <w:rPr>
          <w:rFonts w:ascii="Tahoma" w:hAnsi="Tahoma" w:cs="Tahoma"/>
          <w:sz w:val="20"/>
          <w:szCs w:val="20"/>
        </w:rPr>
        <w:t>Ahora bien, respecto a lo señalado anteriormente,</w:t>
      </w:r>
      <w:r w:rsidRPr="002E5CEB">
        <w:rPr>
          <w:rFonts w:ascii="Tahoma" w:hAnsi="Tahoma" w:cs="Tahoma"/>
          <w:b/>
          <w:sz w:val="20"/>
          <w:szCs w:val="20"/>
        </w:rPr>
        <w:t xml:space="preserve"> </w:t>
      </w:r>
      <w:r w:rsidRPr="002E5CEB">
        <w:rPr>
          <w:rFonts w:ascii="Tahoma" w:eastAsiaTheme="minorHAnsi" w:hAnsi="Tahoma" w:cs="Tahoma"/>
          <w:color w:val="000000"/>
          <w:sz w:val="20"/>
          <w:szCs w:val="20"/>
          <w:lang w:eastAsia="en-US"/>
        </w:rPr>
        <w:t xml:space="preserve">el numeral 10.1 del Reglamento de PETROPERÚ, establece que </w:t>
      </w:r>
      <w:r w:rsidRPr="002E5CEB">
        <w:rPr>
          <w:rFonts w:ascii="Tahoma" w:eastAsiaTheme="minorHAnsi" w:hAnsi="Tahoma" w:cs="Tahoma"/>
          <w:b/>
          <w:bCs/>
          <w:color w:val="000000"/>
          <w:sz w:val="20"/>
          <w:szCs w:val="20"/>
          <w:lang w:eastAsia="en-US"/>
        </w:rPr>
        <w:t>el contrato entre la Entidad y el ganador de la buena pro se formaliza con la suscripción del correspondiente documento contractual o con la recepción de la Orden de Compra u Orden de Trabajo a Terceros conforme a las formalidades y plazos estipulados en las Bases.</w:t>
      </w:r>
    </w:p>
    <w:p w:rsidR="009E2575" w:rsidRPr="002E5CEB" w:rsidRDefault="009E2575" w:rsidP="009E2575">
      <w:pPr>
        <w:autoSpaceDE w:val="0"/>
        <w:autoSpaceDN w:val="0"/>
        <w:adjustRightInd w:val="0"/>
        <w:jc w:val="both"/>
        <w:rPr>
          <w:rFonts w:ascii="Tahoma" w:eastAsiaTheme="minorHAnsi" w:hAnsi="Tahoma" w:cs="Tahoma"/>
          <w:b/>
          <w:bCs/>
          <w:color w:val="000000"/>
          <w:sz w:val="20"/>
          <w:szCs w:val="20"/>
          <w:lang w:eastAsia="en-US"/>
        </w:rPr>
      </w:pPr>
    </w:p>
    <w:p w:rsidR="009E2575" w:rsidRPr="002E5CEB" w:rsidRDefault="009E2575" w:rsidP="009E2575">
      <w:pPr>
        <w:autoSpaceDE w:val="0"/>
        <w:autoSpaceDN w:val="0"/>
        <w:adjustRightInd w:val="0"/>
        <w:ind w:left="567"/>
        <w:jc w:val="both"/>
        <w:rPr>
          <w:rFonts w:ascii="Tahoma" w:eastAsiaTheme="minorHAnsi" w:hAnsi="Tahoma" w:cs="Tahoma"/>
          <w:color w:val="000000"/>
          <w:sz w:val="20"/>
          <w:szCs w:val="20"/>
          <w:lang w:eastAsia="en-US"/>
        </w:rPr>
      </w:pPr>
      <w:r w:rsidRPr="002E5CEB">
        <w:rPr>
          <w:rFonts w:ascii="Tahoma" w:eastAsiaTheme="minorHAnsi" w:hAnsi="Tahoma" w:cs="Tahoma"/>
          <w:b/>
          <w:bCs/>
          <w:color w:val="000000"/>
          <w:sz w:val="20"/>
          <w:szCs w:val="20"/>
          <w:lang w:eastAsia="en-US"/>
        </w:rPr>
        <w:lastRenderedPageBreak/>
        <w:t>Cuando el postor ganador no se presente a suscribir el contrato dentro del plazo otorgado o se niegue injustificadamente a recibir la Orden de Compra u Orden de Trabajo a Terceros, perderá automáticamente la buena pro, sin perjuicio de la sanción administrativa aplicable</w:t>
      </w:r>
      <w:r w:rsidRPr="002E5CEB">
        <w:rPr>
          <w:rFonts w:ascii="Tahoma" w:eastAsiaTheme="minorHAnsi" w:hAnsi="Tahoma" w:cs="Tahoma"/>
          <w:color w:val="000000"/>
          <w:sz w:val="20"/>
          <w:szCs w:val="20"/>
          <w:lang w:eastAsia="en-US"/>
        </w:rPr>
        <w:t>.  En tal caso, PETROPERU citará al postor que ocupó el segundo lugar en el orden de prelación para que formalice el contrato, procediéndose de acuerdo con el mismo plazo y formalidades que con el primero.  Si este postor no suscribe el contrato, PETROPERU declarará desierto el proceso de selección, sin perjuicio de la sanción administrativa aplicable.</w:t>
      </w:r>
    </w:p>
    <w:p w:rsidR="009E2575" w:rsidRPr="002E5CEB" w:rsidRDefault="009E2575" w:rsidP="009E2575">
      <w:pPr>
        <w:autoSpaceDE w:val="0"/>
        <w:autoSpaceDN w:val="0"/>
        <w:adjustRightInd w:val="0"/>
        <w:ind w:left="567" w:hanging="567"/>
        <w:jc w:val="both"/>
        <w:rPr>
          <w:rFonts w:ascii="Tahoma" w:eastAsiaTheme="minorHAnsi" w:hAnsi="Tahoma" w:cs="Tahoma"/>
          <w:color w:val="000000"/>
          <w:sz w:val="20"/>
          <w:szCs w:val="20"/>
          <w:lang w:eastAsia="en-US"/>
        </w:rPr>
      </w:pPr>
    </w:p>
    <w:p w:rsidR="009E2575" w:rsidRPr="002E5CEB" w:rsidRDefault="009E2575" w:rsidP="009E2575">
      <w:pPr>
        <w:autoSpaceDE w:val="0"/>
        <w:autoSpaceDN w:val="0"/>
        <w:adjustRightInd w:val="0"/>
        <w:ind w:left="567"/>
        <w:jc w:val="both"/>
        <w:rPr>
          <w:rFonts w:ascii="Tahoma" w:eastAsiaTheme="minorHAnsi" w:hAnsi="Tahoma" w:cs="Tahoma"/>
          <w:color w:val="000000"/>
          <w:sz w:val="20"/>
          <w:szCs w:val="20"/>
          <w:lang w:eastAsia="en-US"/>
        </w:rPr>
      </w:pPr>
      <w:r w:rsidRPr="002E5CEB">
        <w:rPr>
          <w:rFonts w:ascii="Tahoma" w:eastAsiaTheme="minorHAnsi" w:hAnsi="Tahoma" w:cs="Tahoma"/>
          <w:color w:val="000000"/>
          <w:sz w:val="20"/>
          <w:szCs w:val="20"/>
          <w:lang w:eastAsia="en-US"/>
        </w:rPr>
        <w:t>Para la formalización del contrato o documento respectivo, el postor ganador de la buena pro deberá contar con inscripción vigente en el Registro Nacional de Proveedores que administra el OSCE, no deberá encontrarse inhabilitado para contratar con el Estado, según lo establecido en el Registro Nacional de Proveedores a cargo del OSCE y/o en la Base de Datos de Proveedores Calificados de PETROPERU y deberá presentar la documentación que haya sido requerida en las Bases.</w:t>
      </w:r>
    </w:p>
    <w:p w:rsidR="009E2575" w:rsidRPr="002E5CEB" w:rsidRDefault="009E2575" w:rsidP="009E2575">
      <w:pPr>
        <w:autoSpaceDE w:val="0"/>
        <w:autoSpaceDN w:val="0"/>
        <w:adjustRightInd w:val="0"/>
        <w:ind w:left="567" w:hanging="567"/>
        <w:jc w:val="both"/>
        <w:rPr>
          <w:rFonts w:ascii="Tahoma" w:eastAsiaTheme="minorHAnsi" w:hAnsi="Tahoma" w:cs="Tahoma"/>
          <w:color w:val="000000"/>
          <w:sz w:val="20"/>
          <w:szCs w:val="20"/>
          <w:lang w:eastAsia="en-US"/>
        </w:rPr>
      </w:pPr>
    </w:p>
    <w:p w:rsidR="009E2575" w:rsidRPr="002E5CEB" w:rsidRDefault="009E2575" w:rsidP="009E2575">
      <w:pPr>
        <w:autoSpaceDE w:val="0"/>
        <w:autoSpaceDN w:val="0"/>
        <w:adjustRightInd w:val="0"/>
        <w:ind w:left="567"/>
        <w:jc w:val="both"/>
        <w:rPr>
          <w:rFonts w:ascii="Tahoma" w:eastAsiaTheme="minorHAnsi" w:hAnsi="Tahoma" w:cs="Tahoma"/>
          <w:color w:val="000000"/>
          <w:sz w:val="20"/>
          <w:szCs w:val="20"/>
          <w:lang w:eastAsia="en-US"/>
        </w:rPr>
      </w:pPr>
      <w:r w:rsidRPr="002E5CEB">
        <w:rPr>
          <w:rFonts w:ascii="Tahoma" w:eastAsiaTheme="minorHAnsi" w:hAnsi="Tahoma" w:cs="Tahoma"/>
          <w:color w:val="000000"/>
          <w:sz w:val="20"/>
          <w:szCs w:val="20"/>
          <w:lang w:eastAsia="en-US"/>
        </w:rPr>
        <w:t>Cuando se requiera la presentación de Carta Fianza como garantía de Fiel Cumplimiento, ésta deberá ser presentada de manera previa a la formalización del contrato; de manera excepcional PETROPERU podrá autorizar que la Carta Fianza correspondiente sea presentada luego de formalizado el contrato o documento respectivo, en este supuesto el plazo otorgado, no podrá exceder a los diez (10) días hábiles de dicha formalización.</w:t>
      </w:r>
    </w:p>
    <w:p w:rsidR="009E2575" w:rsidRPr="002E5CEB" w:rsidRDefault="009E2575" w:rsidP="009E2575">
      <w:pPr>
        <w:autoSpaceDE w:val="0"/>
        <w:autoSpaceDN w:val="0"/>
        <w:adjustRightInd w:val="0"/>
        <w:ind w:left="567" w:hanging="567"/>
        <w:jc w:val="both"/>
        <w:rPr>
          <w:rFonts w:ascii="Tahoma" w:eastAsiaTheme="minorHAnsi" w:hAnsi="Tahoma" w:cs="Tahoma"/>
          <w:color w:val="000000"/>
          <w:sz w:val="20"/>
          <w:szCs w:val="20"/>
          <w:lang w:eastAsia="en-US"/>
        </w:rPr>
      </w:pPr>
    </w:p>
    <w:p w:rsidR="009E2575" w:rsidRPr="002E5CEB" w:rsidRDefault="009E2575" w:rsidP="009E2575">
      <w:pPr>
        <w:autoSpaceDE w:val="0"/>
        <w:autoSpaceDN w:val="0"/>
        <w:adjustRightInd w:val="0"/>
        <w:ind w:left="567"/>
        <w:jc w:val="both"/>
        <w:rPr>
          <w:rFonts w:ascii="Tahoma" w:eastAsiaTheme="minorHAnsi" w:hAnsi="Tahoma" w:cs="Tahoma"/>
          <w:color w:val="000000"/>
          <w:sz w:val="20"/>
          <w:szCs w:val="20"/>
          <w:lang w:eastAsia="en-US"/>
        </w:rPr>
      </w:pPr>
      <w:r w:rsidRPr="002E5CEB">
        <w:rPr>
          <w:rFonts w:ascii="Tahoma" w:eastAsiaTheme="minorHAnsi" w:hAnsi="Tahoma" w:cs="Tahoma"/>
          <w:color w:val="000000"/>
          <w:sz w:val="20"/>
          <w:szCs w:val="20"/>
          <w:lang w:eastAsia="en-US"/>
        </w:rPr>
        <w:t>En caso de no presentarse la respectiva Carta Fianza dentro del plazo fijado el contrato no podrá formalizarse o será resuelto, según corresponda, registrando este incumplimiento en la Base de Datos de Proveedores Calificados de PETROPERU y se comunicará al Tribunal de Contrataciones del Estado para las acciones pertinentes.</w:t>
      </w:r>
    </w:p>
    <w:p w:rsidR="009E2575" w:rsidRPr="002E5CEB" w:rsidRDefault="009E2575" w:rsidP="009E2575">
      <w:pPr>
        <w:autoSpaceDE w:val="0"/>
        <w:autoSpaceDN w:val="0"/>
        <w:adjustRightInd w:val="0"/>
        <w:ind w:left="567" w:hanging="567"/>
        <w:jc w:val="both"/>
        <w:rPr>
          <w:rFonts w:ascii="Tahoma" w:eastAsiaTheme="minorHAnsi" w:hAnsi="Tahoma" w:cs="Tahoma"/>
          <w:color w:val="000000"/>
          <w:sz w:val="20"/>
          <w:szCs w:val="20"/>
          <w:lang w:eastAsia="en-US"/>
        </w:rPr>
      </w:pPr>
    </w:p>
    <w:p w:rsidR="009E2575" w:rsidRPr="002E5CEB" w:rsidRDefault="009E2575" w:rsidP="009E2575">
      <w:pPr>
        <w:autoSpaceDE w:val="0"/>
        <w:autoSpaceDN w:val="0"/>
        <w:adjustRightInd w:val="0"/>
        <w:ind w:left="567"/>
        <w:jc w:val="both"/>
        <w:rPr>
          <w:rFonts w:ascii="Tahoma" w:eastAsiaTheme="minorHAnsi" w:hAnsi="Tahoma" w:cs="Tahoma"/>
          <w:color w:val="000000"/>
          <w:sz w:val="20"/>
          <w:szCs w:val="20"/>
          <w:lang w:eastAsia="en-US"/>
        </w:rPr>
      </w:pPr>
      <w:r w:rsidRPr="002E5CEB">
        <w:rPr>
          <w:rFonts w:ascii="Tahoma" w:eastAsiaTheme="minorHAnsi" w:hAnsi="Tahoma" w:cs="Tahoma"/>
          <w:color w:val="000000"/>
          <w:sz w:val="20"/>
          <w:szCs w:val="20"/>
          <w:lang w:eastAsia="en-US"/>
        </w:rPr>
        <w:t>En el caso de consorcios, en la promesa formal, se debe establecer la participación de cada integrante del mismo, si no lo establece se presume que la participación de cada integrante es en proporciones iguales, condición que se mantendrá al suscribirse el contrato de Consorcio, así como, la suscripción del contrato con PETROPERU.</w:t>
      </w:r>
    </w:p>
    <w:p w:rsidR="009E2575" w:rsidRPr="008B46B3" w:rsidRDefault="009E2575" w:rsidP="008B46B3">
      <w:pPr>
        <w:pStyle w:val="Prrafodelista"/>
        <w:numPr>
          <w:ilvl w:val="0"/>
          <w:numId w:val="7"/>
        </w:numPr>
        <w:tabs>
          <w:tab w:val="clear" w:pos="360"/>
          <w:tab w:val="num" w:pos="567"/>
        </w:tabs>
        <w:spacing w:before="100" w:beforeAutospacing="1" w:after="100" w:afterAutospacing="1"/>
        <w:ind w:left="567" w:right="-45" w:hanging="567"/>
        <w:jc w:val="both"/>
        <w:rPr>
          <w:rFonts w:ascii="Tahoma" w:hAnsi="Tahoma" w:cs="Tahoma"/>
          <w:spacing w:val="-6"/>
          <w:sz w:val="20"/>
        </w:rPr>
      </w:pPr>
      <w:r w:rsidRPr="008B46B3">
        <w:rPr>
          <w:rFonts w:ascii="Tahoma" w:eastAsiaTheme="minorHAnsi" w:hAnsi="Tahoma" w:cs="Tahoma"/>
          <w:color w:val="000000"/>
          <w:sz w:val="20"/>
          <w:lang w:eastAsia="en-US"/>
        </w:rPr>
        <w:t xml:space="preserve">En línea con lo anterior, en el numeral 15 de las Bases Administrativas, se determinó que </w:t>
      </w:r>
      <w:r w:rsidRPr="008B46B3">
        <w:rPr>
          <w:rFonts w:ascii="Tahoma" w:hAnsi="Tahoma" w:cs="Tahoma"/>
          <w:spacing w:val="-6"/>
          <w:sz w:val="20"/>
        </w:rPr>
        <w:t>para la emisión de la Orden de Compra el postor ganador de la Buena Pro deberá:</w:t>
      </w:r>
    </w:p>
    <w:p w:rsidR="009E2575" w:rsidRPr="002E5CEB" w:rsidRDefault="009E2575" w:rsidP="009E2575">
      <w:pPr>
        <w:numPr>
          <w:ilvl w:val="0"/>
          <w:numId w:val="8"/>
        </w:numPr>
        <w:spacing w:after="120"/>
        <w:ind w:left="1305" w:right="-40" w:hanging="403"/>
        <w:jc w:val="both"/>
        <w:rPr>
          <w:rFonts w:ascii="Tahoma" w:hAnsi="Tahoma" w:cs="Tahoma"/>
          <w:spacing w:val="-6"/>
          <w:sz w:val="20"/>
          <w:szCs w:val="20"/>
          <w:lang w:val="es-ES_tradnl"/>
        </w:rPr>
      </w:pPr>
      <w:r w:rsidRPr="002E5CEB">
        <w:rPr>
          <w:rFonts w:ascii="Tahoma" w:hAnsi="Tahoma" w:cs="Tahoma"/>
          <w:spacing w:val="-6"/>
          <w:sz w:val="20"/>
          <w:szCs w:val="20"/>
        </w:rPr>
        <w:t>Contar</w:t>
      </w:r>
      <w:r w:rsidRPr="002E5CEB">
        <w:rPr>
          <w:rFonts w:ascii="Tahoma" w:hAnsi="Tahoma" w:cs="Tahoma"/>
          <w:spacing w:val="-6"/>
          <w:sz w:val="20"/>
          <w:szCs w:val="20"/>
          <w:lang w:val="es-ES_tradnl"/>
        </w:rPr>
        <w:t xml:space="preserve"> con inscripción vigente en el Registro Nacional de Proveedores que administra el OSCE para el rubro de bienes.</w:t>
      </w:r>
    </w:p>
    <w:p w:rsidR="009E2575" w:rsidRPr="002E5CEB" w:rsidRDefault="009E2575" w:rsidP="009E2575">
      <w:pPr>
        <w:numPr>
          <w:ilvl w:val="0"/>
          <w:numId w:val="8"/>
        </w:numPr>
        <w:spacing w:after="120"/>
        <w:ind w:left="1305" w:right="-40" w:hanging="403"/>
        <w:jc w:val="both"/>
        <w:rPr>
          <w:rFonts w:ascii="Tahoma" w:hAnsi="Tahoma" w:cs="Tahoma"/>
          <w:spacing w:val="-6"/>
          <w:sz w:val="20"/>
          <w:szCs w:val="20"/>
        </w:rPr>
      </w:pPr>
      <w:r w:rsidRPr="002E5CEB">
        <w:rPr>
          <w:rFonts w:ascii="Tahoma" w:hAnsi="Tahoma" w:cs="Tahoma"/>
          <w:spacing w:val="-6"/>
          <w:sz w:val="20"/>
          <w:szCs w:val="20"/>
        </w:rPr>
        <w:t>Presentar la Constancia de No Encontrarse Inhabilitado para Contratar con el Estado, emitida por el OSCE.</w:t>
      </w:r>
    </w:p>
    <w:p w:rsidR="009E2575" w:rsidRPr="002E5CEB" w:rsidRDefault="009E2575" w:rsidP="009E2575">
      <w:pPr>
        <w:pStyle w:val="Prrafodelista"/>
        <w:tabs>
          <w:tab w:val="num" w:pos="1135"/>
        </w:tabs>
        <w:spacing w:before="100" w:beforeAutospacing="1" w:after="100" w:afterAutospacing="1"/>
        <w:ind w:left="567" w:right="-45"/>
        <w:jc w:val="both"/>
        <w:rPr>
          <w:rFonts w:ascii="Tahoma" w:hAnsi="Tahoma" w:cs="Tahoma"/>
          <w:b/>
          <w:spacing w:val="2"/>
          <w:sz w:val="20"/>
        </w:rPr>
      </w:pPr>
      <w:r w:rsidRPr="002E5CEB">
        <w:rPr>
          <w:rFonts w:ascii="Tahoma" w:hAnsi="Tahoma" w:cs="Tahoma"/>
          <w:spacing w:val="2"/>
          <w:sz w:val="20"/>
        </w:rPr>
        <w:t xml:space="preserve">Dentro de los cinco (05) días hábiles de consentida la Buena Pro, PETROPERU deberá citar al postor ganador de la Buena Pro otorgándole un plazo de tres (03) días hábiles para entregar los documentos indicados en el numeral precedente, de ser el caso. Este plazo podrá ser ampliado en tres (03) días hábiles. </w:t>
      </w:r>
    </w:p>
    <w:p w:rsidR="009E2575" w:rsidRPr="002E5CEB" w:rsidRDefault="009E2575" w:rsidP="009E2575">
      <w:pPr>
        <w:pStyle w:val="Prrafodelista"/>
        <w:tabs>
          <w:tab w:val="num" w:pos="1135"/>
        </w:tabs>
        <w:spacing w:before="100" w:beforeAutospacing="1" w:after="100" w:afterAutospacing="1"/>
        <w:ind w:left="567" w:right="-45"/>
        <w:jc w:val="both"/>
        <w:rPr>
          <w:rFonts w:ascii="Tahoma" w:hAnsi="Tahoma" w:cs="Tahoma"/>
          <w:b/>
          <w:spacing w:val="2"/>
          <w:sz w:val="20"/>
        </w:rPr>
      </w:pPr>
      <w:r w:rsidRPr="002E5CEB">
        <w:rPr>
          <w:rFonts w:ascii="Tahoma" w:hAnsi="Tahoma" w:cs="Tahoma"/>
          <w:spacing w:val="2"/>
          <w:sz w:val="20"/>
        </w:rPr>
        <w:t xml:space="preserve">El incumplimiento por parte del postor ganador de la Buena Pro de lo estipulado en el numeral anterior, en el plazo establecido, originará la pérdida de la Buena Pro, procediéndose a consignar este hecho en la Base de Datos de Proveedores Calificados de PETROPERU, aplicándose la sanción que corresponda según Reglamento de Gestión </w:t>
      </w:r>
      <w:r w:rsidRPr="002E5CEB">
        <w:rPr>
          <w:rFonts w:ascii="Tahoma" w:hAnsi="Tahoma" w:cs="Tahoma"/>
          <w:spacing w:val="2"/>
          <w:sz w:val="20"/>
        </w:rPr>
        <w:lastRenderedPageBreak/>
        <w:t>de Base de Datos de Proveedores Calificados de PETROPERU, informándose al OSCE para las acciones pertinentes.</w:t>
      </w:r>
    </w:p>
    <w:p w:rsidR="009E2575" w:rsidRPr="002E5CEB" w:rsidRDefault="009E2575" w:rsidP="009E2575">
      <w:pPr>
        <w:numPr>
          <w:ilvl w:val="0"/>
          <w:numId w:val="7"/>
        </w:numPr>
        <w:tabs>
          <w:tab w:val="clear" w:pos="360"/>
        </w:tabs>
        <w:ind w:left="567" w:hanging="567"/>
        <w:jc w:val="both"/>
        <w:rPr>
          <w:rFonts w:ascii="Tahoma" w:hAnsi="Tahoma" w:cs="Tahoma"/>
          <w:b/>
          <w:sz w:val="20"/>
          <w:szCs w:val="20"/>
        </w:rPr>
      </w:pPr>
      <w:r w:rsidRPr="002E5CEB">
        <w:rPr>
          <w:rFonts w:ascii="Tahoma" w:eastAsiaTheme="minorHAnsi" w:hAnsi="Tahoma" w:cs="Tahoma"/>
          <w:color w:val="000000"/>
          <w:sz w:val="20"/>
          <w:szCs w:val="20"/>
          <w:lang w:eastAsia="en-US"/>
        </w:rPr>
        <w:t>De la revisión de los antecedentes administrativos, se aprecia que el 09 de junio del 2010, se otorgó la buena pro al Postor siendo que dichos resultados fueron publicados en el SEACE en la misma fecha, es decir, se entendió notificado el día 10 de junio de 2010, y siendo que el consentimiento de la Buena Pro se produce a los 3 días de su notificación, ésta quedó consentida el 15 de junio de 2010.</w:t>
      </w:r>
    </w:p>
    <w:p w:rsidR="009E2575" w:rsidRPr="002E5CEB" w:rsidRDefault="009E2575" w:rsidP="009E2575">
      <w:pPr>
        <w:autoSpaceDE w:val="0"/>
        <w:autoSpaceDN w:val="0"/>
        <w:adjustRightInd w:val="0"/>
        <w:ind w:left="567" w:hanging="567"/>
        <w:jc w:val="both"/>
        <w:rPr>
          <w:rFonts w:ascii="Tahoma" w:eastAsiaTheme="minorHAnsi" w:hAnsi="Tahoma" w:cs="Tahoma"/>
          <w:color w:val="000000"/>
          <w:sz w:val="20"/>
          <w:szCs w:val="20"/>
          <w:lang w:eastAsia="en-US"/>
        </w:rPr>
      </w:pPr>
    </w:p>
    <w:p w:rsidR="009E2575" w:rsidRPr="002E5CEB" w:rsidRDefault="009E2575" w:rsidP="009E2575">
      <w:pPr>
        <w:autoSpaceDE w:val="0"/>
        <w:autoSpaceDN w:val="0"/>
        <w:adjustRightInd w:val="0"/>
        <w:ind w:left="567"/>
        <w:jc w:val="both"/>
        <w:rPr>
          <w:rFonts w:ascii="Tahoma" w:eastAsiaTheme="minorHAnsi" w:hAnsi="Tahoma" w:cs="Tahoma"/>
          <w:color w:val="000000"/>
          <w:sz w:val="20"/>
          <w:szCs w:val="20"/>
          <w:lang w:eastAsia="en-US"/>
        </w:rPr>
      </w:pPr>
      <w:r w:rsidRPr="002E5CEB">
        <w:rPr>
          <w:rFonts w:ascii="Tahoma" w:eastAsiaTheme="minorHAnsi" w:hAnsi="Tahoma" w:cs="Tahoma"/>
          <w:color w:val="000000"/>
          <w:sz w:val="20"/>
          <w:szCs w:val="20"/>
          <w:lang w:eastAsia="en-US"/>
        </w:rPr>
        <w:t>A partir de dicha fecha, la Entidad tenía cinco (5) días para citar al ganador de la Buena Pro a fin que le remitiera los documentos para la emisión de la Orden de Compra respectiva, es por ello, que el 16 de junio de 2010, la Entidad remitió al Postor la Carta GLOG-UA-1706-2010 solicitándole la Constancia de No Encontrarse Inhabilitado para Contratar con el Estado, otorgándole un plazo de 03 días hábiles para su remisión a fin de formalizar la Orden de Compra. En ese sentido, se observa que la Entidad siguió los plazos establecidos para el procedimiento de notificación.</w:t>
      </w:r>
    </w:p>
    <w:p w:rsidR="009E2575" w:rsidRPr="002E5CEB" w:rsidRDefault="009E2575" w:rsidP="009E2575">
      <w:pPr>
        <w:autoSpaceDE w:val="0"/>
        <w:autoSpaceDN w:val="0"/>
        <w:adjustRightInd w:val="0"/>
        <w:ind w:left="567"/>
        <w:jc w:val="both"/>
        <w:rPr>
          <w:rFonts w:ascii="Tahoma" w:eastAsiaTheme="minorHAnsi" w:hAnsi="Tahoma" w:cs="Tahoma"/>
          <w:color w:val="000000"/>
          <w:sz w:val="20"/>
          <w:szCs w:val="20"/>
          <w:lang w:eastAsia="en-US"/>
        </w:rPr>
      </w:pPr>
    </w:p>
    <w:p w:rsidR="009E2575" w:rsidRPr="002E5CEB" w:rsidRDefault="009E2575" w:rsidP="009E2575">
      <w:pPr>
        <w:numPr>
          <w:ilvl w:val="0"/>
          <w:numId w:val="7"/>
        </w:numPr>
        <w:tabs>
          <w:tab w:val="clear" w:pos="360"/>
        </w:tabs>
        <w:ind w:left="567" w:hanging="567"/>
        <w:jc w:val="both"/>
        <w:rPr>
          <w:rFonts w:ascii="Tahoma" w:hAnsi="Tahoma" w:cs="Tahoma"/>
          <w:sz w:val="20"/>
          <w:szCs w:val="20"/>
        </w:rPr>
      </w:pPr>
      <w:r w:rsidRPr="002E5CEB">
        <w:rPr>
          <w:rFonts w:ascii="Tahoma" w:hAnsi="Tahoma" w:cs="Tahoma"/>
          <w:sz w:val="20"/>
          <w:szCs w:val="20"/>
        </w:rPr>
        <w:t>Sin embargo, cabe señalar que de la revisión de la Carta GLOG-UA-1706-2010 de fecha 16 de junio de 2010 remitida por Petroperú al Postor se advierte que fue remitida vía facsímil.</w:t>
      </w:r>
    </w:p>
    <w:p w:rsidR="009E2575" w:rsidRPr="002E5CEB" w:rsidRDefault="009E2575" w:rsidP="009E2575">
      <w:pPr>
        <w:ind w:left="567"/>
        <w:jc w:val="both"/>
        <w:rPr>
          <w:rFonts w:ascii="Tahoma" w:hAnsi="Tahoma" w:cs="Tahoma"/>
          <w:sz w:val="20"/>
          <w:szCs w:val="20"/>
        </w:rPr>
      </w:pPr>
    </w:p>
    <w:p w:rsidR="009E2575" w:rsidRPr="002E5CEB" w:rsidRDefault="009E2575" w:rsidP="009E2575">
      <w:pPr>
        <w:numPr>
          <w:ilvl w:val="0"/>
          <w:numId w:val="7"/>
        </w:numPr>
        <w:tabs>
          <w:tab w:val="clear" w:pos="360"/>
        </w:tabs>
        <w:ind w:left="567" w:hanging="567"/>
        <w:jc w:val="both"/>
        <w:rPr>
          <w:rFonts w:ascii="Tahoma" w:hAnsi="Tahoma" w:cs="Tahoma"/>
          <w:sz w:val="20"/>
          <w:szCs w:val="20"/>
        </w:rPr>
      </w:pPr>
      <w:r w:rsidRPr="002E5CEB">
        <w:rPr>
          <w:rFonts w:ascii="Tahoma" w:hAnsi="Tahoma" w:cs="Tahoma"/>
          <w:sz w:val="20"/>
          <w:szCs w:val="20"/>
        </w:rPr>
        <w:t>Sobre el particular, le corresponde a</w:t>
      </w:r>
      <w:r>
        <w:rPr>
          <w:rFonts w:ascii="Tahoma" w:hAnsi="Tahoma" w:cs="Tahoma"/>
          <w:sz w:val="20"/>
          <w:szCs w:val="20"/>
        </w:rPr>
        <w:t xml:space="preserve"> este Colegiado evaluar si dicha</w:t>
      </w:r>
      <w:r w:rsidRPr="002E5CEB">
        <w:rPr>
          <w:rFonts w:ascii="Tahoma" w:hAnsi="Tahoma" w:cs="Tahoma"/>
          <w:sz w:val="20"/>
          <w:szCs w:val="20"/>
        </w:rPr>
        <w:t xml:space="preserve"> </w:t>
      </w:r>
      <w:r>
        <w:rPr>
          <w:rFonts w:ascii="Tahoma" w:hAnsi="Tahoma" w:cs="Tahoma"/>
          <w:sz w:val="20"/>
          <w:szCs w:val="20"/>
        </w:rPr>
        <w:t>modalidad</w:t>
      </w:r>
      <w:r w:rsidRPr="002E5CEB">
        <w:rPr>
          <w:rFonts w:ascii="Tahoma" w:hAnsi="Tahoma" w:cs="Tahoma"/>
          <w:sz w:val="20"/>
          <w:szCs w:val="20"/>
        </w:rPr>
        <w:t xml:space="preserve"> de notificación es el previsto en la normativa a efecto de cumplir con el procedimiento previsto. En ese sentido, cabe precisar que en vista que ni la Ley ni su Reglamento han contemplado un régimen aplicable para la notificación de las comunicaciones que realiza la Entidad a efectos de citar al Postor para la suscripción del Contrato, por lo que corresponde aplicar de manera supletoria al presente caso lo dispuesto en el artículo 20 de la Ley Nº 27444, que señala:</w:t>
      </w:r>
    </w:p>
    <w:p w:rsidR="009E2575" w:rsidRPr="002E5CEB" w:rsidRDefault="009E2575" w:rsidP="009E2575">
      <w:pPr>
        <w:pStyle w:val="Prrafodelista"/>
        <w:rPr>
          <w:rFonts w:ascii="Tahoma" w:hAnsi="Tahoma" w:cs="Tahoma"/>
          <w:sz w:val="20"/>
        </w:rPr>
      </w:pPr>
    </w:p>
    <w:p w:rsidR="009E2575" w:rsidRPr="002E5CEB" w:rsidRDefault="009E2575" w:rsidP="009E2575">
      <w:pPr>
        <w:ind w:left="567"/>
        <w:jc w:val="both"/>
        <w:rPr>
          <w:rFonts w:ascii="Arial Narrow" w:hAnsi="Arial Narrow" w:cs="Tahoma"/>
          <w:i/>
          <w:sz w:val="20"/>
          <w:szCs w:val="20"/>
        </w:rPr>
      </w:pPr>
      <w:r w:rsidRPr="002E5CEB">
        <w:rPr>
          <w:rFonts w:ascii="Arial Narrow" w:hAnsi="Arial Narrow" w:cs="Tahoma"/>
          <w:i/>
          <w:sz w:val="20"/>
          <w:szCs w:val="20"/>
        </w:rPr>
        <w:t>“20.1 Las notificaciones serán efectuadas a través de las siguientes modalidades, según este respectivo orden de prelación:</w:t>
      </w:r>
    </w:p>
    <w:p w:rsidR="009E2575" w:rsidRPr="002E5CEB" w:rsidRDefault="009E2575" w:rsidP="009E2575">
      <w:pPr>
        <w:pStyle w:val="Prrafodelista"/>
        <w:rPr>
          <w:rFonts w:ascii="Arial Narrow" w:hAnsi="Arial Narrow" w:cs="Tahoma"/>
          <w:i/>
          <w:sz w:val="20"/>
        </w:rPr>
      </w:pPr>
    </w:p>
    <w:p w:rsidR="009E2575" w:rsidRPr="002E5CEB" w:rsidRDefault="009E2575" w:rsidP="009E2575">
      <w:pPr>
        <w:ind w:left="567"/>
        <w:jc w:val="both"/>
        <w:rPr>
          <w:rFonts w:ascii="Arial Narrow" w:hAnsi="Arial Narrow" w:cs="Tahoma"/>
          <w:i/>
          <w:sz w:val="20"/>
          <w:szCs w:val="20"/>
        </w:rPr>
      </w:pPr>
      <w:r w:rsidRPr="002E5CEB">
        <w:rPr>
          <w:rFonts w:ascii="Arial Narrow" w:hAnsi="Arial Narrow" w:cs="Tahoma"/>
          <w:i/>
          <w:sz w:val="20"/>
          <w:szCs w:val="20"/>
        </w:rPr>
        <w:t>20.1.1 Notificación personal al administrado interesado o afectado por el acto, en su domicilio.</w:t>
      </w:r>
    </w:p>
    <w:p w:rsidR="009E2575" w:rsidRPr="002E5CEB" w:rsidRDefault="009E2575" w:rsidP="009E2575">
      <w:pPr>
        <w:ind w:left="567"/>
        <w:jc w:val="both"/>
        <w:rPr>
          <w:rFonts w:ascii="Arial Narrow" w:hAnsi="Arial Narrow" w:cs="Tahoma"/>
          <w:i/>
          <w:sz w:val="20"/>
          <w:szCs w:val="20"/>
        </w:rPr>
      </w:pPr>
      <w:r w:rsidRPr="002E5CEB">
        <w:rPr>
          <w:rFonts w:ascii="Arial Narrow" w:hAnsi="Arial Narrow" w:cs="Tahoma"/>
          <w:i/>
          <w:sz w:val="20"/>
          <w:szCs w:val="20"/>
        </w:rPr>
        <w:t>20.1.2 Mediante telegrama, correo certificado, telefax, o cualquier otro medio que permita comprobar fehacientemente su acuse de recibo y quien lo recibe, siempre que el empleo de cualquiera de estos medios hubiese sido solicitado expresamente por el administrado.</w:t>
      </w:r>
    </w:p>
    <w:p w:rsidR="009E2575" w:rsidRPr="002E5CEB" w:rsidRDefault="009E2575" w:rsidP="009E2575">
      <w:pPr>
        <w:ind w:left="567"/>
        <w:jc w:val="both"/>
        <w:rPr>
          <w:rFonts w:ascii="Arial Narrow" w:hAnsi="Arial Narrow" w:cs="Tahoma"/>
          <w:i/>
          <w:sz w:val="20"/>
          <w:szCs w:val="20"/>
        </w:rPr>
      </w:pPr>
      <w:r w:rsidRPr="002E5CEB">
        <w:rPr>
          <w:rFonts w:ascii="Arial Narrow" w:hAnsi="Arial Narrow" w:cs="Tahoma"/>
          <w:i/>
          <w:sz w:val="20"/>
          <w:szCs w:val="20"/>
        </w:rPr>
        <w:t>20.1.3 Por publicación en el Diario Oficial y en uno de los diarios de mayor circulación en el territorio nacional, salvo disposición distinta de la ley</w:t>
      </w:r>
    </w:p>
    <w:p w:rsidR="009E2575" w:rsidRPr="002E5CEB" w:rsidRDefault="009E2575" w:rsidP="009E2575">
      <w:pPr>
        <w:ind w:left="567"/>
        <w:jc w:val="both"/>
        <w:rPr>
          <w:rFonts w:ascii="Arial Narrow" w:hAnsi="Arial Narrow" w:cs="Tahoma"/>
          <w:i/>
          <w:sz w:val="20"/>
          <w:szCs w:val="20"/>
        </w:rPr>
      </w:pPr>
    </w:p>
    <w:p w:rsidR="009E2575" w:rsidRPr="002E5CEB" w:rsidRDefault="009E2575" w:rsidP="009E2575">
      <w:pPr>
        <w:ind w:left="567"/>
        <w:jc w:val="both"/>
        <w:rPr>
          <w:rFonts w:ascii="Arial Narrow" w:hAnsi="Arial Narrow" w:cs="Tahoma"/>
          <w:i/>
          <w:sz w:val="20"/>
          <w:szCs w:val="20"/>
        </w:rPr>
      </w:pPr>
      <w:r w:rsidRPr="002E5CEB">
        <w:rPr>
          <w:rFonts w:ascii="Arial Narrow" w:hAnsi="Arial Narrow" w:cs="Tahoma"/>
          <w:i/>
          <w:sz w:val="20"/>
          <w:szCs w:val="20"/>
        </w:rPr>
        <w:t>20.2 La autoridad no podrá suplir alguna modalidad con otra, bajo sanción de nulidad de la notificación. Podrá acudir complementariamente de aquellas otras, si así lo estimare conveniente para mejorar las posibilidades de participación de los administrados.”</w:t>
      </w:r>
    </w:p>
    <w:p w:rsidR="009E2575" w:rsidRPr="002E5CEB" w:rsidRDefault="009E2575" w:rsidP="009E2575">
      <w:pPr>
        <w:rPr>
          <w:rFonts w:ascii="Tahoma" w:hAnsi="Tahoma" w:cs="Tahoma"/>
          <w:sz w:val="20"/>
          <w:szCs w:val="20"/>
        </w:rPr>
      </w:pPr>
    </w:p>
    <w:p w:rsidR="009E2575" w:rsidRPr="002E5CEB" w:rsidRDefault="009E2575" w:rsidP="009E2575">
      <w:pPr>
        <w:numPr>
          <w:ilvl w:val="0"/>
          <w:numId w:val="7"/>
        </w:numPr>
        <w:tabs>
          <w:tab w:val="clear" w:pos="360"/>
        </w:tabs>
        <w:ind w:left="567" w:hanging="567"/>
        <w:jc w:val="both"/>
        <w:rPr>
          <w:rFonts w:ascii="Tahoma" w:hAnsi="Tahoma" w:cs="Tahoma"/>
          <w:sz w:val="20"/>
          <w:szCs w:val="20"/>
        </w:rPr>
      </w:pPr>
      <w:r w:rsidRPr="002E5CEB">
        <w:rPr>
          <w:rFonts w:ascii="Tahoma" w:hAnsi="Tahoma" w:cs="Tahoma"/>
          <w:sz w:val="20"/>
          <w:szCs w:val="20"/>
        </w:rPr>
        <w:t>En virtud de la norma citada se aprecia que debe existir un orden de prelación en las modalidades de notificación cuya inobservancia acarrea su nulidad.</w:t>
      </w:r>
    </w:p>
    <w:p w:rsidR="009E2575" w:rsidRPr="002E5CEB" w:rsidRDefault="009E2575" w:rsidP="009E2575">
      <w:pPr>
        <w:ind w:left="567"/>
        <w:jc w:val="both"/>
        <w:rPr>
          <w:rFonts w:ascii="Tahoma" w:hAnsi="Tahoma" w:cs="Tahoma"/>
          <w:sz w:val="20"/>
          <w:szCs w:val="20"/>
        </w:rPr>
      </w:pPr>
    </w:p>
    <w:p w:rsidR="009E2575" w:rsidRPr="002E5CEB" w:rsidRDefault="009E2575" w:rsidP="009E2575">
      <w:pPr>
        <w:numPr>
          <w:ilvl w:val="0"/>
          <w:numId w:val="7"/>
        </w:numPr>
        <w:tabs>
          <w:tab w:val="clear" w:pos="360"/>
        </w:tabs>
        <w:ind w:left="567" w:hanging="567"/>
        <w:jc w:val="both"/>
        <w:rPr>
          <w:rFonts w:ascii="Tahoma" w:hAnsi="Tahoma" w:cs="Tahoma"/>
          <w:sz w:val="20"/>
          <w:szCs w:val="20"/>
        </w:rPr>
      </w:pPr>
      <w:r w:rsidRPr="002E5CEB">
        <w:rPr>
          <w:rFonts w:ascii="Tahoma" w:hAnsi="Tahoma" w:cs="Tahoma"/>
          <w:sz w:val="20"/>
          <w:szCs w:val="20"/>
        </w:rPr>
        <w:t>Asimismo, el numeral 21.1 del artículo 21 de la citada norma establece que “La notificación personal se hará en el domicilio que conste en el expediente o en el último domicilio que la persona a quien deba notificar haya señalado ante el órgano administrativo en otro procedimiento análogo en la propia entidad dentro del último año</w:t>
      </w:r>
      <w:r>
        <w:rPr>
          <w:rFonts w:ascii="Tahoma" w:hAnsi="Tahoma" w:cs="Tahoma"/>
          <w:sz w:val="20"/>
          <w:szCs w:val="20"/>
        </w:rPr>
        <w:t>.</w:t>
      </w:r>
      <w:r w:rsidRPr="002E5CEB">
        <w:rPr>
          <w:rFonts w:ascii="Tahoma" w:hAnsi="Tahoma" w:cs="Tahoma"/>
          <w:sz w:val="20"/>
          <w:szCs w:val="20"/>
        </w:rPr>
        <w:t xml:space="preserve"> </w:t>
      </w:r>
    </w:p>
    <w:p w:rsidR="009E2575" w:rsidRPr="002E5CEB" w:rsidRDefault="009E2575" w:rsidP="009E2575">
      <w:pPr>
        <w:pStyle w:val="Prrafodelista"/>
        <w:rPr>
          <w:rFonts w:ascii="Tahoma" w:hAnsi="Tahoma" w:cs="Tahoma"/>
          <w:sz w:val="20"/>
        </w:rPr>
      </w:pPr>
    </w:p>
    <w:p w:rsidR="009E2575" w:rsidRPr="002E5CEB" w:rsidRDefault="009E2575" w:rsidP="009E2575">
      <w:pPr>
        <w:numPr>
          <w:ilvl w:val="0"/>
          <w:numId w:val="7"/>
        </w:numPr>
        <w:tabs>
          <w:tab w:val="clear" w:pos="360"/>
        </w:tabs>
        <w:ind w:left="567" w:hanging="567"/>
        <w:jc w:val="both"/>
        <w:rPr>
          <w:rFonts w:ascii="Tahoma" w:hAnsi="Tahoma" w:cs="Tahoma"/>
          <w:sz w:val="20"/>
          <w:szCs w:val="20"/>
        </w:rPr>
      </w:pPr>
      <w:r w:rsidRPr="002E5CEB">
        <w:rPr>
          <w:rFonts w:ascii="Tahoma" w:hAnsi="Tahoma" w:cs="Tahoma"/>
          <w:sz w:val="20"/>
          <w:szCs w:val="20"/>
        </w:rPr>
        <w:t>En ese sentido, y de acuerdo a la Propuesta Técnica del Postor se advierte que en su declaración jurada de requerimientos técnicos mínimos este consignó como domicilio legal el Nº 337 de la avenida Víctor Castro Iglesias en San Juan de Miraflores, que es el mismo al registrado en la Constancia de Inscripción Electrónica cuya copia también adjuntó a su Propuesta Técnica.</w:t>
      </w:r>
    </w:p>
    <w:p w:rsidR="009E2575" w:rsidRPr="002E5CEB" w:rsidRDefault="009E2575" w:rsidP="009E2575">
      <w:pPr>
        <w:pStyle w:val="Prrafodelista"/>
        <w:rPr>
          <w:rFonts w:ascii="Tahoma" w:hAnsi="Tahoma" w:cs="Tahoma"/>
          <w:sz w:val="20"/>
        </w:rPr>
      </w:pPr>
    </w:p>
    <w:p w:rsidR="009E2575" w:rsidRPr="002E5CEB" w:rsidRDefault="009E2575" w:rsidP="009E2575">
      <w:pPr>
        <w:numPr>
          <w:ilvl w:val="0"/>
          <w:numId w:val="7"/>
        </w:numPr>
        <w:tabs>
          <w:tab w:val="clear" w:pos="360"/>
        </w:tabs>
        <w:ind w:left="567" w:hanging="567"/>
        <w:jc w:val="both"/>
        <w:rPr>
          <w:rFonts w:ascii="Tahoma" w:hAnsi="Tahoma" w:cs="Tahoma"/>
          <w:sz w:val="20"/>
          <w:szCs w:val="20"/>
        </w:rPr>
      </w:pPr>
      <w:r w:rsidRPr="002E5CEB">
        <w:rPr>
          <w:rFonts w:ascii="Tahoma" w:hAnsi="Tahoma" w:cs="Tahoma"/>
          <w:sz w:val="20"/>
          <w:szCs w:val="20"/>
        </w:rPr>
        <w:t>En virtud de lo ya mencionado, este colegiado requirió a la Entidad que informase si el Postor autorizó de manera expresa que lo citaran para la suscripción del contrato vía facsímil. Sin embrago, la Entidad no ha cumplido con informar al respecto, hecho que debe ser puesto en conocimiento del Órgano de Control Institucional, para la adopción de las medidas correspondientes.</w:t>
      </w:r>
    </w:p>
    <w:p w:rsidR="009E2575" w:rsidRPr="002E5CEB" w:rsidRDefault="009E2575" w:rsidP="009E2575">
      <w:pPr>
        <w:pStyle w:val="Prrafodelista"/>
        <w:rPr>
          <w:rFonts w:ascii="Tahoma" w:hAnsi="Tahoma" w:cs="Tahoma"/>
          <w:sz w:val="20"/>
        </w:rPr>
      </w:pPr>
    </w:p>
    <w:p w:rsidR="009E2575" w:rsidRPr="002E5CEB" w:rsidRDefault="009E2575" w:rsidP="009E2575">
      <w:pPr>
        <w:numPr>
          <w:ilvl w:val="0"/>
          <w:numId w:val="7"/>
        </w:numPr>
        <w:tabs>
          <w:tab w:val="clear" w:pos="360"/>
        </w:tabs>
        <w:ind w:left="567" w:hanging="567"/>
        <w:jc w:val="both"/>
        <w:rPr>
          <w:rFonts w:ascii="Tahoma" w:hAnsi="Tahoma" w:cs="Tahoma"/>
          <w:sz w:val="20"/>
          <w:szCs w:val="20"/>
        </w:rPr>
      </w:pPr>
      <w:r w:rsidRPr="002E5CEB">
        <w:rPr>
          <w:rFonts w:ascii="Tahoma" w:hAnsi="Tahoma" w:cs="Tahoma"/>
          <w:sz w:val="20"/>
          <w:szCs w:val="20"/>
        </w:rPr>
        <w:t xml:space="preserve">Por lo tanto, </w:t>
      </w:r>
      <w:r>
        <w:rPr>
          <w:rFonts w:ascii="Tahoma" w:hAnsi="Tahoma" w:cs="Tahoma"/>
          <w:sz w:val="20"/>
          <w:szCs w:val="20"/>
        </w:rPr>
        <w:t>y siendo que lo mencionado ha sido objeto de anteriores pronunciamientos</w:t>
      </w:r>
      <w:r w:rsidRPr="002E5CEB">
        <w:rPr>
          <w:rFonts w:ascii="Tahoma" w:hAnsi="Tahoma" w:cs="Tahoma"/>
          <w:sz w:val="20"/>
          <w:szCs w:val="20"/>
          <w:vertAlign w:val="superscript"/>
          <w:lang w:val="es-PE"/>
        </w:rPr>
        <w:footnoteReference w:id="4"/>
      </w:r>
      <w:r w:rsidRPr="002E5CEB">
        <w:rPr>
          <w:rFonts w:ascii="Tahoma" w:hAnsi="Tahoma" w:cs="Tahoma"/>
          <w:sz w:val="20"/>
          <w:szCs w:val="20"/>
          <w:lang w:val="es-PE"/>
        </w:rPr>
        <w:t xml:space="preserve"> </w:t>
      </w:r>
      <w:r>
        <w:rPr>
          <w:rFonts w:ascii="Tahoma" w:hAnsi="Tahoma" w:cs="Tahoma"/>
          <w:sz w:val="20"/>
          <w:szCs w:val="20"/>
        </w:rPr>
        <w:t xml:space="preserve"> </w:t>
      </w:r>
      <w:r w:rsidRPr="002E5CEB">
        <w:rPr>
          <w:rFonts w:ascii="Tahoma" w:hAnsi="Tahoma" w:cs="Tahoma"/>
          <w:sz w:val="20"/>
          <w:szCs w:val="20"/>
        </w:rPr>
        <w:t xml:space="preserve">y </w:t>
      </w:r>
      <w:r>
        <w:rPr>
          <w:rFonts w:ascii="Tahoma" w:hAnsi="Tahoma" w:cs="Tahoma"/>
          <w:sz w:val="20"/>
          <w:szCs w:val="20"/>
        </w:rPr>
        <w:t>teniendo en cuenta</w:t>
      </w:r>
      <w:r w:rsidRPr="002E5CEB">
        <w:rPr>
          <w:rFonts w:ascii="Tahoma" w:hAnsi="Tahoma" w:cs="Tahoma"/>
          <w:sz w:val="20"/>
          <w:szCs w:val="20"/>
        </w:rPr>
        <w:t xml:space="preserve"> que la Entidad debió observar el orden de prelación dispuesto en la normativa a fin de citar al Postor para la suscripción del contrato, privilegiando la notificación personal y reservándose el uso de medios alternos de notificación, hecho que no se ha producido, </w:t>
      </w:r>
      <w:r>
        <w:rPr>
          <w:rFonts w:ascii="Tahoma" w:hAnsi="Tahoma" w:cs="Tahoma"/>
          <w:sz w:val="20"/>
          <w:szCs w:val="20"/>
        </w:rPr>
        <w:t xml:space="preserve"> y tal </w:t>
      </w:r>
      <w:r w:rsidRPr="002E5CEB">
        <w:rPr>
          <w:rFonts w:ascii="Tahoma" w:hAnsi="Tahoma" w:cs="Tahoma"/>
          <w:sz w:val="20"/>
          <w:szCs w:val="20"/>
        </w:rPr>
        <w:t>este Colegiado debe  concluir que la notificación vía facsímil no es válida, más aun teniendo en cuenta que la misma no fue autorizada por el Postor.</w:t>
      </w:r>
    </w:p>
    <w:p w:rsidR="009E2575" w:rsidRPr="002E5CEB" w:rsidRDefault="009E2575" w:rsidP="009E2575">
      <w:pPr>
        <w:pStyle w:val="Prrafodelista"/>
        <w:rPr>
          <w:rFonts w:ascii="Tahoma" w:hAnsi="Tahoma" w:cs="Tahoma"/>
          <w:sz w:val="20"/>
        </w:rPr>
      </w:pPr>
    </w:p>
    <w:p w:rsidR="009E2575" w:rsidRPr="002E5CEB" w:rsidRDefault="009E2575" w:rsidP="009E2575">
      <w:pPr>
        <w:numPr>
          <w:ilvl w:val="0"/>
          <w:numId w:val="7"/>
        </w:numPr>
        <w:tabs>
          <w:tab w:val="clear" w:pos="360"/>
        </w:tabs>
        <w:ind w:left="567" w:hanging="567"/>
        <w:jc w:val="both"/>
        <w:rPr>
          <w:rFonts w:ascii="Tahoma" w:hAnsi="Tahoma" w:cs="Tahoma"/>
          <w:sz w:val="20"/>
          <w:szCs w:val="20"/>
        </w:rPr>
      </w:pPr>
      <w:r w:rsidRPr="002E5CEB">
        <w:rPr>
          <w:rFonts w:ascii="Tahoma" w:hAnsi="Tahoma" w:cs="Tahoma"/>
          <w:sz w:val="20"/>
          <w:szCs w:val="20"/>
        </w:rPr>
        <w:t xml:space="preserve">En relación a lo manifestado cabe señalar que las disposiciones contenidas en la Ley y su Reglamento, así como en el presente caso a la Ley de Procedimiento Administrativo General de manera supletoria, son de obligatorio cumplimiento por las partes involucradas en los procesos de selección, ya que son las normas que deben observar tanto los administrados como la Administración, quienes deberán también actuar con respeto a la Constitución , la ley y al derecho, dentro de las facultades que le estén atribuidas y de acuerdo con los fines para los que les fueron conferidas, a tener del Principio de Legalidad recogido en el inciso 1.1 del artículo IV del Título Preliminar de la Ley Nº 27444, Ley de Procedimiento Administrativo Genera, el cual desdobla en tres elementos esenciales e indisolubles, a saber: (i) </w:t>
      </w:r>
      <w:r w:rsidRPr="002E5CEB">
        <w:rPr>
          <w:rFonts w:ascii="Tahoma" w:hAnsi="Tahoma" w:cs="Tahoma"/>
          <w:b/>
          <w:sz w:val="20"/>
          <w:szCs w:val="20"/>
        </w:rPr>
        <w:t>la legalidad formal, que exige el sometimiento al procedimiento previamente regulado</w:t>
      </w:r>
      <w:r w:rsidRPr="002E5CEB">
        <w:rPr>
          <w:rFonts w:ascii="Tahoma" w:hAnsi="Tahoma" w:cs="Tahoma"/>
          <w:sz w:val="20"/>
          <w:szCs w:val="20"/>
        </w:rPr>
        <w:t>, (ii) la legalidad sustantiva, referente al contenido de las materias que le son atribuidas y (iii) la legalidad teleológica, que obliga al cumplimiento de los fines que el legislador estableció.</w:t>
      </w:r>
    </w:p>
    <w:p w:rsidR="009E2575" w:rsidRPr="002E5CEB" w:rsidRDefault="009E2575" w:rsidP="009E2575">
      <w:pPr>
        <w:pStyle w:val="Prrafodelista"/>
        <w:rPr>
          <w:rFonts w:ascii="Tahoma" w:hAnsi="Tahoma" w:cs="Tahoma"/>
          <w:sz w:val="20"/>
        </w:rPr>
      </w:pPr>
    </w:p>
    <w:p w:rsidR="009E2575" w:rsidRPr="002E5CEB" w:rsidRDefault="009E2575" w:rsidP="009E2575">
      <w:pPr>
        <w:numPr>
          <w:ilvl w:val="0"/>
          <w:numId w:val="7"/>
        </w:numPr>
        <w:tabs>
          <w:tab w:val="clear" w:pos="360"/>
        </w:tabs>
        <w:ind w:left="567" w:hanging="567"/>
        <w:jc w:val="both"/>
        <w:rPr>
          <w:rFonts w:ascii="Tahoma" w:hAnsi="Tahoma" w:cs="Tahoma"/>
          <w:sz w:val="20"/>
          <w:szCs w:val="20"/>
        </w:rPr>
      </w:pPr>
      <w:r w:rsidRPr="002E5CEB">
        <w:rPr>
          <w:rFonts w:ascii="Tahoma" w:hAnsi="Tahoma" w:cs="Tahoma"/>
          <w:sz w:val="20"/>
          <w:szCs w:val="20"/>
        </w:rPr>
        <w:t>Aunado a ello, el numeral 4 del artículo 230 de la Ley Nº 27444 consagra el Principio de Tipicidad, el cual prevé que las conductas expresamente descritas como sancionables no pueden admitir interpretación extensiva o análoga. Por su parte el numeral 2) del citado artículo contempla el Principio del Debido Procedimiento mediante el cual las Entidades aplicaran sanciones sujetando a su actuación al procedimiento establecido, respetando las garantías inherentes al debido procedimiento.</w:t>
      </w:r>
    </w:p>
    <w:p w:rsidR="009E2575" w:rsidRPr="002E5CEB" w:rsidRDefault="009E2575" w:rsidP="009E2575">
      <w:pPr>
        <w:pStyle w:val="Prrafodelista"/>
        <w:rPr>
          <w:rFonts w:ascii="Tahoma" w:hAnsi="Tahoma" w:cs="Tahoma"/>
          <w:sz w:val="20"/>
        </w:rPr>
      </w:pPr>
    </w:p>
    <w:p w:rsidR="009E2575" w:rsidRPr="002E5CEB" w:rsidRDefault="009E2575" w:rsidP="009E2575">
      <w:pPr>
        <w:numPr>
          <w:ilvl w:val="0"/>
          <w:numId w:val="7"/>
        </w:numPr>
        <w:tabs>
          <w:tab w:val="clear" w:pos="360"/>
        </w:tabs>
        <w:ind w:left="567" w:hanging="567"/>
        <w:jc w:val="both"/>
        <w:rPr>
          <w:rFonts w:ascii="Tahoma" w:hAnsi="Tahoma" w:cs="Tahoma"/>
          <w:sz w:val="20"/>
          <w:szCs w:val="20"/>
        </w:rPr>
      </w:pPr>
      <w:r w:rsidRPr="002E5CEB">
        <w:rPr>
          <w:rFonts w:ascii="Tahoma" w:hAnsi="Tahoma" w:cs="Tahoma"/>
          <w:sz w:val="20"/>
          <w:szCs w:val="20"/>
        </w:rPr>
        <w:t xml:space="preserve">Consecuentemente, este Tribunal considera que no se ha configurado el presupuesto necesario para la infracción prevista en el literal a) del numeral 51.1 del artículo 51 de la Ley en concordancia con el literal a) del numeral 1 del artículo 237 del Reglamento y, por su efecto, este Tribunal considera que corresponde declarar no ha lugar a la imposición </w:t>
      </w:r>
      <w:r w:rsidRPr="002E5CEB">
        <w:rPr>
          <w:rFonts w:ascii="Tahoma" w:hAnsi="Tahoma" w:cs="Tahoma"/>
          <w:sz w:val="20"/>
          <w:szCs w:val="20"/>
        </w:rPr>
        <w:lastRenderedPageBreak/>
        <w:t>de sanción administrativa contra el Postor por su supuesta responsabilidad en la no suscripción del contrato.</w:t>
      </w:r>
    </w:p>
    <w:p w:rsidR="009E2575" w:rsidRPr="009E2575" w:rsidRDefault="009E2575" w:rsidP="009E2575">
      <w:pPr>
        <w:jc w:val="both"/>
        <w:rPr>
          <w:rFonts w:ascii="Tahoma" w:hAnsi="Tahoma" w:cs="Tahoma"/>
          <w:sz w:val="20"/>
          <w:szCs w:val="20"/>
        </w:rPr>
      </w:pPr>
    </w:p>
    <w:p w:rsidR="009E2575" w:rsidRPr="00452B70" w:rsidRDefault="009E2575" w:rsidP="009E2575">
      <w:pPr>
        <w:tabs>
          <w:tab w:val="left" w:pos="567"/>
        </w:tabs>
        <w:autoSpaceDE w:val="0"/>
        <w:autoSpaceDN w:val="0"/>
        <w:adjustRightInd w:val="0"/>
        <w:ind w:left="567" w:hanging="1440"/>
        <w:jc w:val="both"/>
        <w:rPr>
          <w:rFonts w:ascii="Tahoma" w:eastAsiaTheme="minorHAnsi" w:hAnsi="Tahoma" w:cs="Tahoma"/>
          <w:color w:val="000000"/>
          <w:sz w:val="20"/>
          <w:szCs w:val="20"/>
          <w:lang w:eastAsia="en-US"/>
        </w:rPr>
      </w:pPr>
      <w:r w:rsidRPr="00452B70">
        <w:rPr>
          <w:rFonts w:ascii="Tahoma" w:eastAsiaTheme="minorHAnsi" w:hAnsi="Tahoma" w:cs="Tahoma"/>
          <w:color w:val="000000"/>
          <w:sz w:val="20"/>
          <w:szCs w:val="20"/>
          <w:lang w:eastAsia="en-US"/>
        </w:rPr>
        <w:tab/>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9E2575" w:rsidRPr="00452B70" w:rsidRDefault="009E2575" w:rsidP="009E2575">
      <w:pPr>
        <w:ind w:firstLine="426"/>
        <w:jc w:val="both"/>
        <w:rPr>
          <w:rFonts w:ascii="Tahoma" w:hAnsi="Tahoma" w:cs="Tahoma"/>
          <w:sz w:val="20"/>
          <w:szCs w:val="20"/>
        </w:rPr>
      </w:pPr>
    </w:p>
    <w:p w:rsidR="009E2575" w:rsidRPr="00452B70" w:rsidRDefault="009E2575" w:rsidP="009E2575">
      <w:pPr>
        <w:ind w:firstLine="567"/>
        <w:jc w:val="both"/>
        <w:rPr>
          <w:rFonts w:ascii="Tahoma" w:hAnsi="Tahoma" w:cs="Tahoma"/>
          <w:b/>
          <w:sz w:val="20"/>
          <w:szCs w:val="20"/>
        </w:rPr>
      </w:pPr>
      <w:r w:rsidRPr="00452B70">
        <w:rPr>
          <w:rFonts w:ascii="Tahoma" w:hAnsi="Tahoma" w:cs="Tahoma"/>
          <w:b/>
          <w:sz w:val="20"/>
          <w:szCs w:val="20"/>
        </w:rPr>
        <w:t xml:space="preserve">LA SALA RESUELVE: </w:t>
      </w:r>
    </w:p>
    <w:p w:rsidR="009E2575" w:rsidRPr="00452B70" w:rsidRDefault="009E2575" w:rsidP="009E2575">
      <w:pPr>
        <w:jc w:val="both"/>
        <w:rPr>
          <w:rFonts w:ascii="Tahoma" w:hAnsi="Tahoma" w:cs="Tahoma"/>
          <w:snapToGrid w:val="0"/>
          <w:sz w:val="20"/>
          <w:szCs w:val="20"/>
        </w:rPr>
      </w:pPr>
    </w:p>
    <w:p w:rsidR="009E2575" w:rsidRPr="002E5CEB" w:rsidRDefault="009E2575" w:rsidP="009E2575">
      <w:pPr>
        <w:numPr>
          <w:ilvl w:val="0"/>
          <w:numId w:val="9"/>
        </w:numPr>
        <w:ind w:left="567" w:hanging="425"/>
        <w:jc w:val="both"/>
        <w:rPr>
          <w:rFonts w:ascii="Tahoma" w:hAnsi="Tahoma" w:cs="Tahoma"/>
          <w:sz w:val="20"/>
          <w:szCs w:val="20"/>
        </w:rPr>
      </w:pPr>
      <w:r w:rsidRPr="002E5CEB">
        <w:rPr>
          <w:rFonts w:ascii="Tahoma" w:hAnsi="Tahoma" w:cs="Tahoma"/>
          <w:sz w:val="20"/>
          <w:szCs w:val="20"/>
        </w:rPr>
        <w:t xml:space="preserve">Declarar no ha lugar la imposición de sanción administrativa en contra </w:t>
      </w:r>
      <w:r w:rsidRPr="002E5CEB">
        <w:rPr>
          <w:rFonts w:ascii="Tahoma" w:eastAsia="MS Mincho" w:hAnsi="Tahoma" w:cs="Tahoma"/>
          <w:sz w:val="20"/>
          <w:szCs w:val="20"/>
          <w:lang w:val="es-ES_tradnl"/>
        </w:rPr>
        <w:t xml:space="preserve">la empresa </w:t>
      </w:r>
      <w:r w:rsidRPr="002E5CEB">
        <w:rPr>
          <w:rFonts w:ascii="Tahoma" w:hAnsi="Tahoma" w:cs="Tahoma"/>
          <w:sz w:val="20"/>
          <w:szCs w:val="20"/>
        </w:rPr>
        <w:t>CORPORACION NUEVO MUNDO SAC, por la comisión de la infracción prevista en el literal a) del numeral 51.1 del artículo 51 de la Ley en concordancia con el literal a) del numeral 1 del artículo 237 del Reglamento debiendo archivarse el presente expediente.</w:t>
      </w:r>
    </w:p>
    <w:p w:rsidR="009E2575" w:rsidRPr="002E5CEB" w:rsidRDefault="009E2575" w:rsidP="009E2575">
      <w:pPr>
        <w:ind w:left="567"/>
        <w:jc w:val="both"/>
        <w:rPr>
          <w:rFonts w:ascii="Tahoma" w:hAnsi="Tahoma" w:cs="Tahoma"/>
          <w:sz w:val="20"/>
          <w:szCs w:val="20"/>
        </w:rPr>
      </w:pPr>
    </w:p>
    <w:p w:rsidR="009E2575" w:rsidRPr="002E5CEB" w:rsidRDefault="009E2575" w:rsidP="009E2575">
      <w:pPr>
        <w:numPr>
          <w:ilvl w:val="0"/>
          <w:numId w:val="9"/>
        </w:numPr>
        <w:ind w:left="567" w:hanging="425"/>
        <w:jc w:val="both"/>
        <w:rPr>
          <w:rFonts w:ascii="Tahoma" w:hAnsi="Tahoma" w:cs="Tahoma"/>
          <w:sz w:val="20"/>
          <w:szCs w:val="20"/>
        </w:rPr>
      </w:pPr>
      <w:r w:rsidRPr="002E5CEB">
        <w:rPr>
          <w:rFonts w:ascii="Tahoma" w:hAnsi="Tahoma" w:cs="Tahoma"/>
          <w:sz w:val="20"/>
          <w:szCs w:val="20"/>
        </w:rPr>
        <w:t>Comunicar la presente Resolución al Órgano de Control Institucional para que adopte las medidas que correspondan.</w:t>
      </w:r>
    </w:p>
    <w:p w:rsidR="009E2575" w:rsidRPr="00452B70" w:rsidRDefault="009E2575" w:rsidP="009E2575">
      <w:pPr>
        <w:pStyle w:val="Prrafodelista"/>
        <w:ind w:left="426"/>
        <w:jc w:val="both"/>
        <w:rPr>
          <w:rFonts w:ascii="Tahoma" w:hAnsi="Tahoma" w:cs="Tahoma"/>
          <w:color w:val="000000" w:themeColor="text1"/>
          <w:sz w:val="20"/>
          <w:lang w:val="es-ES"/>
        </w:rPr>
      </w:pPr>
    </w:p>
    <w:p w:rsidR="009E2575" w:rsidRPr="00452B70" w:rsidRDefault="009E2575" w:rsidP="009E2575">
      <w:pPr>
        <w:pStyle w:val="Textoindependiente21"/>
        <w:ind w:firstLine="567"/>
        <w:rPr>
          <w:rFonts w:cs="Tahoma"/>
          <w:sz w:val="20"/>
        </w:rPr>
      </w:pPr>
      <w:r w:rsidRPr="00452B70">
        <w:rPr>
          <w:rFonts w:cs="Tahoma"/>
          <w:sz w:val="20"/>
        </w:rPr>
        <w:t>Regístrese, comuníquese y publíquese.</w:t>
      </w:r>
    </w:p>
    <w:p w:rsidR="009E2575" w:rsidRPr="00452B70" w:rsidRDefault="009E2575" w:rsidP="009E2575">
      <w:pPr>
        <w:jc w:val="center"/>
        <w:rPr>
          <w:rFonts w:ascii="Tahoma" w:hAnsi="Tahoma" w:cs="Tahoma"/>
          <w:b/>
          <w:sz w:val="20"/>
          <w:szCs w:val="20"/>
        </w:rPr>
      </w:pPr>
    </w:p>
    <w:p w:rsidR="009E2575" w:rsidRPr="00452B70" w:rsidRDefault="009E2575" w:rsidP="009E2575">
      <w:pPr>
        <w:jc w:val="center"/>
        <w:rPr>
          <w:rFonts w:ascii="Tahoma" w:hAnsi="Tahoma" w:cs="Tahoma"/>
          <w:b/>
          <w:sz w:val="20"/>
          <w:szCs w:val="20"/>
        </w:rPr>
      </w:pPr>
    </w:p>
    <w:p w:rsidR="009E2575" w:rsidRPr="00452B70" w:rsidRDefault="009E2575" w:rsidP="009E2575">
      <w:pPr>
        <w:jc w:val="center"/>
        <w:rPr>
          <w:rFonts w:ascii="Tahoma" w:hAnsi="Tahoma" w:cs="Tahoma"/>
          <w:b/>
          <w:sz w:val="20"/>
          <w:szCs w:val="20"/>
        </w:rPr>
      </w:pPr>
    </w:p>
    <w:p w:rsidR="009E2575" w:rsidRDefault="009E2575" w:rsidP="009E2575">
      <w:pPr>
        <w:rPr>
          <w:rFonts w:ascii="Tahoma" w:hAnsi="Tahoma" w:cs="Tahoma"/>
          <w:b/>
          <w:sz w:val="20"/>
          <w:szCs w:val="20"/>
        </w:rPr>
      </w:pPr>
    </w:p>
    <w:p w:rsidR="009E2575" w:rsidRDefault="009E2575" w:rsidP="009E2575">
      <w:pPr>
        <w:rPr>
          <w:rFonts w:ascii="Tahoma" w:hAnsi="Tahoma" w:cs="Tahoma"/>
          <w:b/>
          <w:sz w:val="20"/>
          <w:szCs w:val="20"/>
        </w:rPr>
      </w:pPr>
    </w:p>
    <w:p w:rsidR="009E2575" w:rsidRPr="00452B70" w:rsidRDefault="009E2575" w:rsidP="009E2575">
      <w:pPr>
        <w:rPr>
          <w:rFonts w:ascii="Tahoma" w:hAnsi="Tahoma" w:cs="Tahoma"/>
          <w:b/>
          <w:sz w:val="20"/>
          <w:szCs w:val="20"/>
        </w:rPr>
      </w:pPr>
    </w:p>
    <w:p w:rsidR="009E2575" w:rsidRPr="00452B70" w:rsidRDefault="009E2575" w:rsidP="009E2575">
      <w:pPr>
        <w:jc w:val="center"/>
        <w:rPr>
          <w:rFonts w:ascii="Tahoma" w:hAnsi="Tahoma" w:cs="Tahoma"/>
          <w:b/>
          <w:sz w:val="20"/>
          <w:szCs w:val="20"/>
        </w:rPr>
      </w:pPr>
    </w:p>
    <w:p w:rsidR="009E2575" w:rsidRPr="00452B70" w:rsidRDefault="009E2575" w:rsidP="009E2575">
      <w:pPr>
        <w:jc w:val="center"/>
        <w:rPr>
          <w:rFonts w:ascii="Tahoma" w:hAnsi="Tahoma" w:cs="Tahoma"/>
          <w:b/>
          <w:shadow/>
          <w:sz w:val="20"/>
          <w:szCs w:val="20"/>
          <w:lang w:val="pt-BR"/>
        </w:rPr>
      </w:pPr>
      <w:r w:rsidRPr="00452B70">
        <w:rPr>
          <w:rFonts w:ascii="Tahoma" w:hAnsi="Tahoma" w:cs="Tahoma"/>
          <w:b/>
          <w:shadow/>
          <w:sz w:val="20"/>
          <w:szCs w:val="20"/>
          <w:lang w:val="pt-BR"/>
        </w:rPr>
        <w:t>PRESIDENTE</w:t>
      </w:r>
    </w:p>
    <w:p w:rsidR="009E2575" w:rsidRPr="00452B70" w:rsidRDefault="009E2575" w:rsidP="009E2575">
      <w:pPr>
        <w:ind w:firstLine="708"/>
        <w:rPr>
          <w:rFonts w:ascii="Tahoma" w:hAnsi="Tahoma" w:cs="Tahoma"/>
          <w:b/>
          <w:shadow/>
          <w:sz w:val="20"/>
          <w:szCs w:val="20"/>
          <w:lang w:val="pt-BR"/>
        </w:rPr>
      </w:pPr>
    </w:p>
    <w:p w:rsidR="009E2575" w:rsidRPr="00452B70" w:rsidRDefault="009E2575" w:rsidP="009E2575">
      <w:pPr>
        <w:ind w:firstLine="708"/>
        <w:rPr>
          <w:rFonts w:ascii="Tahoma" w:hAnsi="Tahoma" w:cs="Tahoma"/>
          <w:b/>
          <w:shadow/>
          <w:sz w:val="20"/>
          <w:szCs w:val="20"/>
          <w:lang w:val="pt-BR"/>
        </w:rPr>
      </w:pPr>
      <w:r w:rsidRPr="00452B70">
        <w:rPr>
          <w:rFonts w:ascii="Tahoma" w:hAnsi="Tahoma" w:cs="Tahoma"/>
          <w:b/>
          <w:shadow/>
          <w:sz w:val="20"/>
          <w:szCs w:val="20"/>
          <w:lang w:val="pt-BR"/>
        </w:rPr>
        <w:t xml:space="preserve">VOCAL           </w:t>
      </w:r>
      <w:r w:rsidRPr="00452B70">
        <w:rPr>
          <w:rFonts w:ascii="Tahoma" w:hAnsi="Tahoma" w:cs="Tahoma"/>
          <w:b/>
          <w:shadow/>
          <w:sz w:val="20"/>
          <w:szCs w:val="20"/>
          <w:lang w:val="pt-BR"/>
        </w:rPr>
        <w:tab/>
      </w:r>
      <w:r w:rsidRPr="00452B70">
        <w:rPr>
          <w:rFonts w:ascii="Tahoma" w:hAnsi="Tahoma" w:cs="Tahoma"/>
          <w:b/>
          <w:shadow/>
          <w:sz w:val="20"/>
          <w:szCs w:val="20"/>
          <w:lang w:val="pt-BR"/>
        </w:rPr>
        <w:tab/>
        <w:t xml:space="preserve">                                                                 VOCAL</w:t>
      </w:r>
    </w:p>
    <w:p w:rsidR="009E2575" w:rsidRPr="00452B70" w:rsidRDefault="009E2575" w:rsidP="009E2575">
      <w:pPr>
        <w:rPr>
          <w:rFonts w:ascii="Tahoma" w:hAnsi="Tahoma" w:cs="Tahoma"/>
          <w:sz w:val="20"/>
          <w:szCs w:val="20"/>
          <w:lang w:val="pt-BR"/>
        </w:rPr>
      </w:pPr>
    </w:p>
    <w:p w:rsidR="009E2575" w:rsidRPr="00452B70" w:rsidRDefault="009E2575" w:rsidP="009E2575">
      <w:pPr>
        <w:rPr>
          <w:rFonts w:ascii="Tahoma" w:hAnsi="Tahoma" w:cs="Tahoma"/>
          <w:sz w:val="20"/>
          <w:szCs w:val="20"/>
          <w:lang w:val="pt-BR"/>
        </w:rPr>
      </w:pPr>
    </w:p>
    <w:p w:rsidR="009E2575" w:rsidRPr="00452B70" w:rsidRDefault="009E2575" w:rsidP="009E2575">
      <w:pPr>
        <w:jc w:val="both"/>
        <w:rPr>
          <w:rFonts w:ascii="Tahoma" w:hAnsi="Tahoma" w:cs="Tahoma"/>
          <w:sz w:val="20"/>
          <w:szCs w:val="20"/>
          <w:lang w:val="pt-BR"/>
        </w:rPr>
      </w:pPr>
      <w:r w:rsidRPr="00452B70">
        <w:rPr>
          <w:rFonts w:ascii="Tahoma" w:hAnsi="Tahoma" w:cs="Tahoma"/>
          <w:sz w:val="20"/>
          <w:szCs w:val="20"/>
          <w:lang w:val="pt-BR"/>
        </w:rPr>
        <w:t>ss.</w:t>
      </w:r>
    </w:p>
    <w:p w:rsidR="009E2575" w:rsidRPr="00452B70" w:rsidRDefault="009E2575" w:rsidP="009E2575">
      <w:pPr>
        <w:pStyle w:val="Textoindependiente21"/>
        <w:tabs>
          <w:tab w:val="left" w:pos="5250"/>
        </w:tabs>
        <w:rPr>
          <w:rFonts w:cs="Tahoma"/>
          <w:sz w:val="20"/>
          <w:lang w:val="pt-BR"/>
        </w:rPr>
      </w:pPr>
      <w:r w:rsidRPr="00452B70">
        <w:rPr>
          <w:rFonts w:cs="Tahoma"/>
          <w:sz w:val="20"/>
          <w:lang w:val="pt-BR"/>
        </w:rPr>
        <w:t>Navas Rondón.</w:t>
      </w:r>
    </w:p>
    <w:p w:rsidR="009E2575" w:rsidRPr="00452B70" w:rsidRDefault="009E2575" w:rsidP="009E2575">
      <w:pPr>
        <w:pStyle w:val="Textoindependiente21"/>
        <w:tabs>
          <w:tab w:val="left" w:pos="5250"/>
        </w:tabs>
        <w:rPr>
          <w:rFonts w:cs="Tahoma"/>
          <w:sz w:val="20"/>
          <w:lang w:val="pt-BR"/>
        </w:rPr>
      </w:pPr>
      <w:r w:rsidRPr="00452B70">
        <w:rPr>
          <w:rFonts w:cs="Tahoma"/>
          <w:sz w:val="20"/>
        </w:rPr>
        <w:t>Ramírez Maynetto.</w:t>
      </w:r>
    </w:p>
    <w:p w:rsidR="009E2575" w:rsidRPr="00452B70" w:rsidRDefault="009E2575" w:rsidP="009E2575">
      <w:pPr>
        <w:pStyle w:val="Textoindependiente21"/>
        <w:tabs>
          <w:tab w:val="left" w:pos="5250"/>
        </w:tabs>
        <w:rPr>
          <w:rFonts w:cs="Tahoma"/>
          <w:sz w:val="20"/>
          <w:lang w:val="pt-BR"/>
        </w:rPr>
      </w:pPr>
      <w:r w:rsidRPr="00452B70">
        <w:rPr>
          <w:rFonts w:cs="Tahoma"/>
          <w:sz w:val="20"/>
          <w:lang w:val="pt-BR"/>
        </w:rPr>
        <w:t>Basulto Liewald.</w:t>
      </w:r>
    </w:p>
    <w:p w:rsidR="001D5C36" w:rsidRDefault="00E810FE"/>
    <w:sectPr w:rsidR="001D5C36"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10FE" w:rsidRDefault="00E810FE" w:rsidP="009E2575">
      <w:r>
        <w:separator/>
      </w:r>
    </w:p>
  </w:endnote>
  <w:endnote w:type="continuationSeparator" w:id="1">
    <w:p w:rsidR="00E810FE" w:rsidRDefault="00E810FE" w:rsidP="009E2575">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2E56ED">
            <w:pPr>
              <w:pStyle w:val="Piedepgina"/>
              <w:jc w:val="center"/>
            </w:pPr>
            <w:r>
              <w:t xml:space="preserve">Página </w:t>
            </w:r>
            <w:r w:rsidR="00876819">
              <w:rPr>
                <w:b/>
              </w:rPr>
              <w:fldChar w:fldCharType="begin"/>
            </w:r>
            <w:r>
              <w:rPr>
                <w:b/>
              </w:rPr>
              <w:instrText>PAGE</w:instrText>
            </w:r>
            <w:r w:rsidR="00876819">
              <w:rPr>
                <w:b/>
              </w:rPr>
              <w:fldChar w:fldCharType="separate"/>
            </w:r>
            <w:r w:rsidR="00E229FD">
              <w:rPr>
                <w:b/>
                <w:noProof/>
              </w:rPr>
              <w:t>1</w:t>
            </w:r>
            <w:r w:rsidR="00876819">
              <w:rPr>
                <w:b/>
              </w:rPr>
              <w:fldChar w:fldCharType="end"/>
            </w:r>
            <w:r>
              <w:t xml:space="preserve"> de </w:t>
            </w:r>
            <w:r w:rsidR="00876819">
              <w:rPr>
                <w:b/>
              </w:rPr>
              <w:fldChar w:fldCharType="begin"/>
            </w:r>
            <w:r>
              <w:rPr>
                <w:b/>
              </w:rPr>
              <w:instrText>NUMPAGES</w:instrText>
            </w:r>
            <w:r w:rsidR="00876819">
              <w:rPr>
                <w:b/>
              </w:rPr>
              <w:fldChar w:fldCharType="separate"/>
            </w:r>
            <w:r w:rsidR="00E229FD">
              <w:rPr>
                <w:b/>
                <w:noProof/>
              </w:rPr>
              <w:t>8</w:t>
            </w:r>
            <w:r w:rsidR="00876819">
              <w:rPr>
                <w:b/>
              </w:rPr>
              <w:fldChar w:fldCharType="end"/>
            </w:r>
          </w:p>
        </w:sdtContent>
      </w:sdt>
    </w:sdtContent>
  </w:sdt>
  <w:p w:rsidR="0035353E" w:rsidRDefault="00E810FE">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10FE" w:rsidRDefault="00E810FE" w:rsidP="009E2575">
      <w:r>
        <w:separator/>
      </w:r>
    </w:p>
  </w:footnote>
  <w:footnote w:type="continuationSeparator" w:id="1">
    <w:p w:rsidR="00E810FE" w:rsidRDefault="00E810FE" w:rsidP="009E2575">
      <w:r>
        <w:continuationSeparator/>
      </w:r>
    </w:p>
  </w:footnote>
  <w:footnote w:id="2">
    <w:p w:rsidR="009E2575" w:rsidRPr="00285227" w:rsidRDefault="009E2575" w:rsidP="009E2575">
      <w:pPr>
        <w:pStyle w:val="Textonotapie"/>
        <w:rPr>
          <w:rFonts w:ascii="Tahoma" w:hAnsi="Tahoma" w:cs="Tahoma"/>
          <w:i/>
          <w:sz w:val="16"/>
          <w:szCs w:val="16"/>
        </w:rPr>
      </w:pPr>
      <w:r w:rsidRPr="00CA1C02">
        <w:rPr>
          <w:rStyle w:val="Refdenotaalpie"/>
          <w:rFonts w:ascii="Tahoma" w:hAnsi="Tahoma" w:cs="Tahoma"/>
          <w:i/>
        </w:rPr>
        <w:footnoteRef/>
      </w:r>
      <w:r w:rsidRPr="00CA1C02">
        <w:rPr>
          <w:rFonts w:ascii="Tahoma" w:hAnsi="Tahoma" w:cs="Tahoma"/>
          <w:i/>
        </w:rPr>
        <w:t xml:space="preserve"> </w:t>
      </w:r>
      <w:r w:rsidRPr="00285227">
        <w:rPr>
          <w:rFonts w:ascii="Tahoma" w:hAnsi="Tahoma" w:cs="Tahoma"/>
          <w:i/>
          <w:sz w:val="16"/>
          <w:szCs w:val="16"/>
        </w:rPr>
        <w:t>Publicada el 23 de julio de 2006.</w:t>
      </w:r>
    </w:p>
  </w:footnote>
  <w:footnote w:id="3">
    <w:p w:rsidR="009E2575" w:rsidRPr="00285227" w:rsidRDefault="009E2575" w:rsidP="009E2575">
      <w:pPr>
        <w:pStyle w:val="Textonotapie"/>
        <w:rPr>
          <w:rFonts w:ascii="Tahoma" w:hAnsi="Tahoma" w:cs="Tahoma"/>
          <w:i/>
          <w:sz w:val="16"/>
          <w:szCs w:val="16"/>
        </w:rPr>
      </w:pPr>
      <w:r w:rsidRPr="00285227">
        <w:rPr>
          <w:rStyle w:val="Refdenotaalpie"/>
          <w:rFonts w:ascii="Tahoma" w:hAnsi="Tahoma" w:cs="Tahoma"/>
          <w:i/>
          <w:sz w:val="16"/>
          <w:szCs w:val="16"/>
        </w:rPr>
        <w:footnoteRef/>
      </w:r>
      <w:r w:rsidRPr="00285227">
        <w:rPr>
          <w:rFonts w:ascii="Tahoma" w:hAnsi="Tahoma" w:cs="Tahoma"/>
          <w:i/>
          <w:sz w:val="16"/>
          <w:szCs w:val="16"/>
        </w:rPr>
        <w:t xml:space="preserve"> Pu</w:t>
      </w:r>
      <w:r>
        <w:rPr>
          <w:rFonts w:ascii="Tahoma" w:hAnsi="Tahoma" w:cs="Tahoma"/>
          <w:i/>
          <w:sz w:val="16"/>
          <w:szCs w:val="16"/>
        </w:rPr>
        <w:t>blicada el 12 de diciembre del 2009</w:t>
      </w:r>
      <w:r w:rsidRPr="00285227">
        <w:rPr>
          <w:rFonts w:ascii="Tahoma" w:hAnsi="Tahoma" w:cs="Tahoma"/>
          <w:i/>
          <w:sz w:val="16"/>
          <w:szCs w:val="16"/>
        </w:rPr>
        <w:t>.</w:t>
      </w:r>
    </w:p>
  </w:footnote>
  <w:footnote w:id="4">
    <w:p w:rsidR="009E2575" w:rsidRPr="00285227" w:rsidRDefault="009E2575" w:rsidP="009E2575">
      <w:pPr>
        <w:pStyle w:val="Textonotapie"/>
        <w:rPr>
          <w:rFonts w:ascii="Tahoma" w:hAnsi="Tahoma" w:cs="Tahoma"/>
          <w:i/>
          <w:sz w:val="16"/>
          <w:szCs w:val="16"/>
        </w:rPr>
      </w:pPr>
      <w:r w:rsidRPr="00285227">
        <w:rPr>
          <w:rStyle w:val="Refdenotaalpie"/>
          <w:rFonts w:ascii="Tahoma" w:hAnsi="Tahoma" w:cs="Tahoma"/>
          <w:i/>
          <w:sz w:val="16"/>
          <w:szCs w:val="16"/>
        </w:rPr>
        <w:footnoteRef/>
      </w:r>
      <w:r>
        <w:rPr>
          <w:rFonts w:ascii="Tahoma" w:hAnsi="Tahoma" w:cs="Tahoma"/>
          <w:i/>
          <w:sz w:val="16"/>
          <w:szCs w:val="16"/>
        </w:rPr>
        <w:t xml:space="preserve"> Resolución Nº 634-2011-TC-S1 del 13/04/2011, Resolución Nº 112-2011-TC-S2 del 27/01/2011, y Resolución Nº 2104-2010-TC-S4 del 08/11/2010</w:t>
      </w:r>
      <w:r w:rsidRPr="00285227">
        <w:rPr>
          <w:rFonts w:ascii="Tahoma" w:hAnsi="Tahoma" w:cs="Tahoma"/>
          <w:i/>
          <w:sz w:val="16"/>
          <w:szCs w:val="16"/>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9FD" w:rsidRDefault="00E229FD" w:rsidP="00E229FD">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E229FD" w:rsidRDefault="00E229FD" w:rsidP="00E229FD">
    <w:pPr>
      <w:pStyle w:val="Encabezado"/>
      <w:rPr>
        <w:noProof/>
      </w:rPr>
    </w:pPr>
  </w:p>
  <w:p w:rsidR="00E229FD" w:rsidRDefault="00E229FD" w:rsidP="00E229FD">
    <w:pPr>
      <w:pStyle w:val="Encabezado"/>
      <w:rPr>
        <w:noProof/>
      </w:rPr>
    </w:pPr>
  </w:p>
  <w:p w:rsidR="00E229FD" w:rsidRDefault="00E229FD" w:rsidP="00E229FD">
    <w:pPr>
      <w:pStyle w:val="Encabezado"/>
      <w:rPr>
        <w:noProof/>
      </w:rPr>
    </w:pPr>
  </w:p>
  <w:p w:rsidR="00E229FD" w:rsidRDefault="00E229FD" w:rsidP="00E229FD">
    <w:pPr>
      <w:pStyle w:val="Encabezado"/>
      <w:jc w:val="center"/>
    </w:pPr>
    <w:r>
      <w:rPr>
        <w:rFonts w:ascii="Monotype Corsiva" w:hAnsi="Monotype Corsiva"/>
        <w:b/>
        <w:sz w:val="44"/>
        <w:szCs w:val="44"/>
      </w:rPr>
      <w:t xml:space="preserve">Resolución Nº   </w:t>
    </w:r>
    <w:r>
      <w:rPr>
        <w:rFonts w:ascii="Tahoma" w:hAnsi="Tahoma" w:cs="Tahoma"/>
        <w:b/>
        <w:sz w:val="44"/>
        <w:szCs w:val="44"/>
      </w:rPr>
      <w:t>810-2011-TC-S1</w:t>
    </w:r>
  </w:p>
  <w:p w:rsidR="00E229FD" w:rsidRDefault="00E229F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DDC7D40"/>
    <w:lvl w:ilvl="0" w:tplc="78364840">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13A84108"/>
    <w:multiLevelType w:val="hybridMultilevel"/>
    <w:tmpl w:val="24FC21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E564EAD"/>
    <w:multiLevelType w:val="hybridMultilevel"/>
    <w:tmpl w:val="1142817E"/>
    <w:lvl w:ilvl="0" w:tplc="7FEAD98A">
      <w:start w:val="1"/>
      <w:numFmt w:val="upperLetter"/>
      <w:lvlText w:val="%1)"/>
      <w:lvlJc w:val="left"/>
      <w:pPr>
        <w:ind w:left="1002" w:hanging="435"/>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
    <w:nsid w:val="331F6AD4"/>
    <w:multiLevelType w:val="hybridMultilevel"/>
    <w:tmpl w:val="434E93F0"/>
    <w:lvl w:ilvl="0" w:tplc="FB76A4DA">
      <w:numFmt w:val="bullet"/>
      <w:lvlText w:val="-"/>
      <w:lvlJc w:val="left"/>
      <w:pPr>
        <w:tabs>
          <w:tab w:val="num" w:pos="1663"/>
        </w:tabs>
        <w:ind w:left="1456" w:hanging="360"/>
      </w:pPr>
      <w:rPr>
        <w:rFonts w:ascii="Times New Roman" w:eastAsia="Times New Roman" w:hAnsi="Times New Roman" w:cs="Times New Roman" w:hint="default"/>
      </w:rPr>
    </w:lvl>
    <w:lvl w:ilvl="1" w:tplc="0C0A0003" w:tentative="1">
      <w:start w:val="1"/>
      <w:numFmt w:val="bullet"/>
      <w:lvlText w:val="o"/>
      <w:lvlJc w:val="left"/>
      <w:pPr>
        <w:tabs>
          <w:tab w:val="num" w:pos="2536"/>
        </w:tabs>
        <w:ind w:left="2536" w:hanging="360"/>
      </w:pPr>
      <w:rPr>
        <w:rFonts w:ascii="Courier New" w:hAnsi="Courier New" w:cs="Courier New" w:hint="default"/>
      </w:rPr>
    </w:lvl>
    <w:lvl w:ilvl="2" w:tplc="0C0A0005" w:tentative="1">
      <w:start w:val="1"/>
      <w:numFmt w:val="bullet"/>
      <w:lvlText w:val=""/>
      <w:lvlJc w:val="left"/>
      <w:pPr>
        <w:tabs>
          <w:tab w:val="num" w:pos="3256"/>
        </w:tabs>
        <w:ind w:left="3256" w:hanging="360"/>
      </w:pPr>
      <w:rPr>
        <w:rFonts w:ascii="Wingdings" w:hAnsi="Wingdings" w:hint="default"/>
      </w:rPr>
    </w:lvl>
    <w:lvl w:ilvl="3" w:tplc="0C0A0001">
      <w:start w:val="1"/>
      <w:numFmt w:val="bullet"/>
      <w:lvlText w:val=""/>
      <w:lvlJc w:val="left"/>
      <w:pPr>
        <w:tabs>
          <w:tab w:val="num" w:pos="3976"/>
        </w:tabs>
        <w:ind w:left="3976" w:hanging="360"/>
      </w:pPr>
      <w:rPr>
        <w:rFonts w:ascii="Symbol" w:hAnsi="Symbol" w:hint="default"/>
      </w:rPr>
    </w:lvl>
    <w:lvl w:ilvl="4" w:tplc="0C0A0003" w:tentative="1">
      <w:start w:val="1"/>
      <w:numFmt w:val="bullet"/>
      <w:lvlText w:val="o"/>
      <w:lvlJc w:val="left"/>
      <w:pPr>
        <w:tabs>
          <w:tab w:val="num" w:pos="4696"/>
        </w:tabs>
        <w:ind w:left="4696" w:hanging="360"/>
      </w:pPr>
      <w:rPr>
        <w:rFonts w:ascii="Courier New" w:hAnsi="Courier New" w:cs="Courier New" w:hint="default"/>
      </w:rPr>
    </w:lvl>
    <w:lvl w:ilvl="5" w:tplc="0C0A0005" w:tentative="1">
      <w:start w:val="1"/>
      <w:numFmt w:val="bullet"/>
      <w:lvlText w:val=""/>
      <w:lvlJc w:val="left"/>
      <w:pPr>
        <w:tabs>
          <w:tab w:val="num" w:pos="5416"/>
        </w:tabs>
        <w:ind w:left="5416" w:hanging="360"/>
      </w:pPr>
      <w:rPr>
        <w:rFonts w:ascii="Wingdings" w:hAnsi="Wingdings" w:hint="default"/>
      </w:rPr>
    </w:lvl>
    <w:lvl w:ilvl="6" w:tplc="0C0A0001" w:tentative="1">
      <w:start w:val="1"/>
      <w:numFmt w:val="bullet"/>
      <w:lvlText w:val=""/>
      <w:lvlJc w:val="left"/>
      <w:pPr>
        <w:tabs>
          <w:tab w:val="num" w:pos="6136"/>
        </w:tabs>
        <w:ind w:left="6136" w:hanging="360"/>
      </w:pPr>
      <w:rPr>
        <w:rFonts w:ascii="Symbol" w:hAnsi="Symbol" w:hint="default"/>
      </w:rPr>
    </w:lvl>
    <w:lvl w:ilvl="7" w:tplc="0C0A0003" w:tentative="1">
      <w:start w:val="1"/>
      <w:numFmt w:val="bullet"/>
      <w:lvlText w:val="o"/>
      <w:lvlJc w:val="left"/>
      <w:pPr>
        <w:tabs>
          <w:tab w:val="num" w:pos="6856"/>
        </w:tabs>
        <w:ind w:left="6856" w:hanging="360"/>
      </w:pPr>
      <w:rPr>
        <w:rFonts w:ascii="Courier New" w:hAnsi="Courier New" w:cs="Courier New" w:hint="default"/>
      </w:rPr>
    </w:lvl>
    <w:lvl w:ilvl="8" w:tplc="0C0A0005" w:tentative="1">
      <w:start w:val="1"/>
      <w:numFmt w:val="bullet"/>
      <w:lvlText w:val=""/>
      <w:lvlJc w:val="left"/>
      <w:pPr>
        <w:tabs>
          <w:tab w:val="num" w:pos="7576"/>
        </w:tabs>
        <w:ind w:left="7576" w:hanging="360"/>
      </w:pPr>
      <w:rPr>
        <w:rFonts w:ascii="Wingdings" w:hAnsi="Wingdings" w:hint="default"/>
      </w:rPr>
    </w:lvl>
  </w:abstractNum>
  <w:abstractNum w:abstractNumId="4">
    <w:nsid w:val="4CA942A9"/>
    <w:multiLevelType w:val="hybridMultilevel"/>
    <w:tmpl w:val="CD8E71E4"/>
    <w:lvl w:ilvl="0" w:tplc="33FA569A">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5">
    <w:nsid w:val="5E1931F5"/>
    <w:multiLevelType w:val="hybridMultilevel"/>
    <w:tmpl w:val="6B52A2B0"/>
    <w:lvl w:ilvl="0" w:tplc="EAB4C47A">
      <w:start w:val="1"/>
      <w:numFmt w:val="decimal"/>
      <w:lvlText w:val="%1."/>
      <w:lvlJc w:val="left"/>
      <w:pPr>
        <w:tabs>
          <w:tab w:val="num" w:pos="360"/>
        </w:tabs>
        <w:ind w:left="360" w:hanging="360"/>
      </w:pPr>
      <w:rPr>
        <w:rFonts w:ascii="Tahoma" w:hAnsi="Tahoma" w:cs="Tahoma" w:hint="default"/>
        <w:b/>
        <w:sz w:val="24"/>
        <w:szCs w:val="24"/>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71663834"/>
    <w:multiLevelType w:val="hybridMultilevel"/>
    <w:tmpl w:val="91141D32"/>
    <w:lvl w:ilvl="0" w:tplc="58B46118">
      <w:start w:val="1"/>
      <w:numFmt w:val="decimal"/>
      <w:lvlText w:val="%1."/>
      <w:lvlJc w:val="left"/>
      <w:pPr>
        <w:tabs>
          <w:tab w:val="num" w:pos="454"/>
        </w:tabs>
        <w:ind w:left="454" w:hanging="454"/>
      </w:pPr>
      <w:rPr>
        <w:rFonts w:ascii="Tahoma" w:hAnsi="Tahoma" w:cs="Tahoma" w:hint="default"/>
        <w:b/>
        <w:i w:val="0"/>
        <w:shadow w:val="0"/>
        <w:emboss w:val="0"/>
        <w:imprint w:val="0"/>
        <w:sz w:val="22"/>
        <w:szCs w:val="22"/>
        <w:u w:color="FFFFFF"/>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776C2DBD"/>
    <w:multiLevelType w:val="hybridMultilevel"/>
    <w:tmpl w:val="BD3C2554"/>
    <w:lvl w:ilvl="0" w:tplc="67A6AEA4">
      <w:start w:val="1"/>
      <w:numFmt w:val="decimal"/>
      <w:lvlText w:val="%1."/>
      <w:lvlJc w:val="left"/>
      <w:pPr>
        <w:ind w:left="720" w:hanging="360"/>
      </w:pPr>
      <w:rPr>
        <w:rFonts w:hint="default"/>
        <w:b/>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7EC759A6"/>
    <w:multiLevelType w:val="hybridMultilevel"/>
    <w:tmpl w:val="460CCEAC"/>
    <w:lvl w:ilvl="0" w:tplc="472E12E2">
      <w:start w:val="1"/>
      <w:numFmt w:val="decimal"/>
      <w:lvlText w:val="%1."/>
      <w:lvlJc w:val="left"/>
      <w:pPr>
        <w:tabs>
          <w:tab w:val="num" w:pos="927"/>
        </w:tabs>
        <w:ind w:left="927" w:hanging="360"/>
      </w:pPr>
      <w:rPr>
        <w:rFonts w:hint="default"/>
        <w:b/>
        <w:sz w:val="22"/>
        <w:szCs w:val="22"/>
      </w:rPr>
    </w:lvl>
    <w:lvl w:ilvl="1" w:tplc="C1A43016">
      <w:start w:val="1"/>
      <w:numFmt w:val="lowerLetter"/>
      <w:lvlText w:val="%2."/>
      <w:lvlJc w:val="left"/>
      <w:pPr>
        <w:tabs>
          <w:tab w:val="num" w:pos="1647"/>
        </w:tabs>
        <w:ind w:left="1647" w:hanging="360"/>
      </w:pPr>
      <w:rPr>
        <w:rFonts w:hint="default"/>
        <w:b/>
      </w:r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num w:numId="1">
    <w:abstractNumId w:val="8"/>
  </w:num>
  <w:num w:numId="2">
    <w:abstractNumId w:val="4"/>
  </w:num>
  <w:num w:numId="3">
    <w:abstractNumId w:val="6"/>
  </w:num>
  <w:num w:numId="4">
    <w:abstractNumId w:val="1"/>
  </w:num>
  <w:num w:numId="5">
    <w:abstractNumId w:val="0"/>
  </w:num>
  <w:num w:numId="6">
    <w:abstractNumId w:val="2"/>
  </w:num>
  <w:num w:numId="7">
    <w:abstractNumId w:val="5"/>
  </w:num>
  <w:num w:numId="8">
    <w:abstractNumId w:val="3"/>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9E2575"/>
    <w:rsid w:val="00196655"/>
    <w:rsid w:val="001B58C8"/>
    <w:rsid w:val="002E56ED"/>
    <w:rsid w:val="00496AD0"/>
    <w:rsid w:val="00876819"/>
    <w:rsid w:val="008B46B3"/>
    <w:rsid w:val="009E2575"/>
    <w:rsid w:val="00AC6B7D"/>
    <w:rsid w:val="00E229FD"/>
    <w:rsid w:val="00E810F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575"/>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9E2575"/>
    <w:pPr>
      <w:spacing w:after="120"/>
    </w:pPr>
    <w:rPr>
      <w:sz w:val="16"/>
      <w:szCs w:val="16"/>
      <w:lang w:val="es-PE"/>
    </w:rPr>
  </w:style>
  <w:style w:type="character" w:customStyle="1" w:styleId="Textoindependiente3Car">
    <w:name w:val="Texto independiente 3 Car"/>
    <w:basedOn w:val="Fuentedeprrafopredeter"/>
    <w:link w:val="Textoindependiente3"/>
    <w:rsid w:val="009E2575"/>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9E2575"/>
    <w:pPr>
      <w:jc w:val="both"/>
    </w:pPr>
    <w:rPr>
      <w:rFonts w:ascii="Tahoma" w:hAnsi="Tahoma"/>
      <w:sz w:val="22"/>
      <w:szCs w:val="20"/>
    </w:rPr>
  </w:style>
  <w:style w:type="paragraph" w:styleId="Prrafodelista">
    <w:name w:val="List Paragraph"/>
    <w:basedOn w:val="Normal"/>
    <w:uiPriority w:val="34"/>
    <w:qFormat/>
    <w:rsid w:val="009E2575"/>
    <w:pPr>
      <w:widowControl w:val="0"/>
      <w:suppressAutoHyphens/>
      <w:ind w:left="708"/>
    </w:pPr>
    <w:rPr>
      <w:szCs w:val="20"/>
      <w:lang w:val="es-ES_tradnl"/>
    </w:rPr>
  </w:style>
  <w:style w:type="paragraph" w:styleId="Piedepgina">
    <w:name w:val="footer"/>
    <w:basedOn w:val="Normal"/>
    <w:link w:val="PiedepginaCar"/>
    <w:uiPriority w:val="99"/>
    <w:unhideWhenUsed/>
    <w:rsid w:val="009E2575"/>
    <w:pPr>
      <w:tabs>
        <w:tab w:val="center" w:pos="4252"/>
        <w:tab w:val="right" w:pos="8504"/>
      </w:tabs>
    </w:pPr>
  </w:style>
  <w:style w:type="character" w:customStyle="1" w:styleId="PiedepginaCar">
    <w:name w:val="Pie de página Car"/>
    <w:basedOn w:val="Fuentedeprrafopredeter"/>
    <w:link w:val="Piedepgina"/>
    <w:uiPriority w:val="99"/>
    <w:rsid w:val="009E2575"/>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Car1 Car, Car2 Car1 Car, Car Car Car, Car1,Car Car Car Car Car"/>
    <w:basedOn w:val="Normal"/>
    <w:link w:val="TextonotapieCar"/>
    <w:rsid w:val="009E2575"/>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Car1 Car Car"/>
    <w:basedOn w:val="Fuentedeprrafopredeter"/>
    <w:link w:val="Textonotapie"/>
    <w:rsid w:val="009E2575"/>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9E2575"/>
    <w:rPr>
      <w:rFonts w:cs="Times New Roman"/>
      <w:vertAlign w:val="superscript"/>
    </w:rPr>
  </w:style>
  <w:style w:type="table" w:styleId="Tablaconcuadrcula">
    <w:name w:val="Table Grid"/>
    <w:basedOn w:val="Tablanormal"/>
    <w:uiPriority w:val="59"/>
    <w:rsid w:val="009E25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independiente">
    <w:name w:val="Body Text"/>
    <w:basedOn w:val="Normal"/>
    <w:link w:val="TextoindependienteCar"/>
    <w:uiPriority w:val="99"/>
    <w:unhideWhenUsed/>
    <w:rsid w:val="009E2575"/>
    <w:pPr>
      <w:spacing w:after="120"/>
    </w:pPr>
  </w:style>
  <w:style w:type="character" w:customStyle="1" w:styleId="TextoindependienteCar">
    <w:name w:val="Texto independiente Car"/>
    <w:basedOn w:val="Fuentedeprrafopredeter"/>
    <w:link w:val="Textoindependiente"/>
    <w:uiPriority w:val="99"/>
    <w:rsid w:val="009E2575"/>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semiHidden/>
    <w:unhideWhenUsed/>
    <w:rsid w:val="00E229FD"/>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E229FD"/>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21543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3442</Words>
  <Characters>18933</Characters>
  <Application>Microsoft Office Word</Application>
  <DocSecurity>0</DocSecurity>
  <Lines>157</Lines>
  <Paragraphs>44</Paragraphs>
  <ScaleCrop>false</ScaleCrop>
  <Company/>
  <LinksUpToDate>false</LinksUpToDate>
  <CharactersWithSpaces>22331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4</cp:revision>
  <cp:lastPrinted>2011-05-12T20:25:00Z</cp:lastPrinted>
  <dcterms:created xsi:type="dcterms:W3CDTF">2011-05-12T20:15:00Z</dcterms:created>
  <dcterms:modified xsi:type="dcterms:W3CDTF">2011-06-17T14:25:00Z</dcterms:modified>
</cp:coreProperties>
</file>